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3BCAEE">
      <w:pPr>
        <w:jc w:val="center"/>
        <w:rPr>
          <w:rFonts w:hint="eastAsia" w:ascii="仿宋" w:hAnsi="仿宋" w:eastAsia="仿宋" w:cs="仿宋"/>
          <w:b/>
          <w:bCs/>
          <w:sz w:val="32"/>
          <w:szCs w:val="32"/>
          <w:shd w:val="clear" w:color="auto" w:fill="auto"/>
        </w:rPr>
      </w:pPr>
      <w:r>
        <w:rPr>
          <w:rFonts w:hint="eastAsia" w:ascii="仿宋" w:hAnsi="仿宋" w:eastAsia="仿宋" w:cs="仿宋"/>
          <w:b/>
          <w:bCs/>
          <w:sz w:val="32"/>
          <w:szCs w:val="32"/>
          <w:shd w:val="clear" w:color="auto" w:fill="auto"/>
          <w:lang w:val="en-US" w:eastAsia="zh-CN"/>
        </w:rPr>
        <w:t>创新发展学院</w:t>
      </w:r>
      <w:r>
        <w:rPr>
          <w:rFonts w:hint="eastAsia" w:ascii="仿宋" w:hAnsi="仿宋" w:eastAsia="仿宋" w:cs="仿宋"/>
          <w:b/>
          <w:bCs/>
          <w:sz w:val="32"/>
          <w:szCs w:val="32"/>
          <w:shd w:val="clear" w:color="auto" w:fill="auto"/>
        </w:rPr>
        <w:t>中国金融发展研究院</w:t>
      </w:r>
    </w:p>
    <w:p w14:paraId="24FE1DFD">
      <w:pPr>
        <w:jc w:val="center"/>
        <w:rPr>
          <w:rFonts w:hint="eastAsia" w:ascii="仿宋" w:hAnsi="仿宋" w:eastAsia="仿宋" w:cs="仿宋"/>
          <w:b/>
          <w:bCs/>
          <w:sz w:val="32"/>
          <w:szCs w:val="32"/>
          <w:shd w:val="clear" w:color="auto" w:fill="auto"/>
          <w:lang w:eastAsia="zh-CN"/>
        </w:rPr>
      </w:pPr>
      <w:r>
        <w:rPr>
          <w:rFonts w:hint="eastAsia" w:ascii="仿宋" w:hAnsi="仿宋" w:eastAsia="仿宋" w:cs="仿宋"/>
          <w:b/>
          <w:bCs/>
          <w:sz w:val="32"/>
          <w:szCs w:val="32"/>
          <w:shd w:val="clear" w:color="auto" w:fill="auto"/>
          <w:lang w:val="en-US" w:eastAsia="zh-CN"/>
        </w:rPr>
        <w:t>2026</w:t>
      </w:r>
      <w:r>
        <w:rPr>
          <w:rFonts w:hint="eastAsia" w:ascii="仿宋" w:hAnsi="仿宋" w:eastAsia="仿宋" w:cs="仿宋"/>
          <w:b/>
          <w:bCs/>
          <w:sz w:val="32"/>
          <w:szCs w:val="32"/>
          <w:shd w:val="clear" w:color="auto" w:fill="auto"/>
        </w:rPr>
        <w:t>年二年级及以上研究生学业奖学金评审</w:t>
      </w:r>
      <w:r>
        <w:rPr>
          <w:rFonts w:hint="eastAsia" w:ascii="仿宋" w:hAnsi="仿宋" w:eastAsia="仿宋" w:cs="仿宋"/>
          <w:b/>
          <w:bCs/>
          <w:sz w:val="32"/>
          <w:szCs w:val="32"/>
          <w:shd w:val="clear" w:color="auto" w:fill="auto"/>
          <w:lang w:eastAsia="zh-CN"/>
        </w:rPr>
        <w:t>细则</w:t>
      </w:r>
    </w:p>
    <w:p w14:paraId="4F8030B0">
      <w:pPr>
        <w:keepNext w:val="0"/>
        <w:keepLines w:val="0"/>
        <w:widowControl/>
        <w:suppressLineNumbers w:val="0"/>
        <w:jc w:val="left"/>
        <w:rPr>
          <w:rFonts w:hint="eastAsia" w:ascii="仿宋" w:hAnsi="仿宋" w:eastAsia="仿宋" w:cs="仿宋"/>
          <w:color w:val="000000"/>
          <w:kern w:val="0"/>
          <w:sz w:val="28"/>
          <w:szCs w:val="28"/>
          <w:shd w:val="clear" w:color="auto" w:fill="auto"/>
          <w:lang w:val="en-US" w:eastAsia="zh-CN"/>
        </w:rPr>
      </w:pPr>
    </w:p>
    <w:p w14:paraId="2EB4508C">
      <w:pPr>
        <w:ind w:firstLine="560" w:firstLineChars="200"/>
        <w:rPr>
          <w:rFonts w:hint="eastAsia" w:ascii="仿宋" w:hAnsi="仿宋" w:eastAsia="仿宋" w:cs="仿宋"/>
          <w:sz w:val="28"/>
          <w:szCs w:val="28"/>
          <w:shd w:val="clear" w:color="auto" w:fill="auto"/>
        </w:rPr>
      </w:pPr>
      <w:r>
        <w:rPr>
          <w:rFonts w:hint="eastAsia" w:ascii="仿宋" w:hAnsi="仿宋" w:eastAsia="仿宋" w:cs="仿宋"/>
          <w:sz w:val="28"/>
          <w:szCs w:val="28"/>
          <w:shd w:val="clear" w:color="auto" w:fill="auto"/>
        </w:rPr>
        <w:t>研究生学业奖学金，用于激励研究生勤奋学习、潜心科研、勇于创新、积极进取，在全面实行研究生教育收费制度的情况下更好地支持研究生顺利完成学业。</w:t>
      </w:r>
    </w:p>
    <w:p w14:paraId="2438A2A0">
      <w:pPr>
        <w:numPr>
          <w:ilvl w:val="0"/>
          <w:numId w:val="1"/>
        </w:numPr>
        <w:rPr>
          <w:rFonts w:hint="eastAsia" w:ascii="仿宋" w:hAnsi="仿宋" w:eastAsia="仿宋" w:cs="仿宋"/>
          <w:sz w:val="28"/>
          <w:szCs w:val="28"/>
          <w:shd w:val="clear" w:color="auto" w:fill="auto"/>
          <w:lang w:val="en-US" w:eastAsia="zh-CN"/>
        </w:rPr>
      </w:pPr>
      <w:r>
        <w:rPr>
          <w:rFonts w:hint="eastAsia" w:ascii="仿宋" w:hAnsi="仿宋" w:eastAsia="仿宋" w:cs="仿宋"/>
          <w:sz w:val="28"/>
          <w:szCs w:val="28"/>
          <w:shd w:val="clear" w:color="auto" w:fill="auto"/>
          <w:lang w:val="en-US" w:eastAsia="zh-CN"/>
        </w:rPr>
        <w:t>申请条件</w:t>
      </w:r>
    </w:p>
    <w:p w14:paraId="47CAB51F">
      <w:pPr>
        <w:numPr>
          <w:ilvl w:val="0"/>
          <w:numId w:val="0"/>
        </w:numPr>
        <w:rPr>
          <w:rFonts w:hint="eastAsia" w:ascii="仿宋" w:hAnsi="仿宋" w:eastAsia="仿宋" w:cs="仿宋"/>
          <w:sz w:val="28"/>
          <w:szCs w:val="28"/>
          <w:shd w:val="clear" w:color="auto" w:fill="auto"/>
          <w:lang w:val="en-US" w:eastAsia="zh-CN"/>
        </w:rPr>
      </w:pPr>
      <w:r>
        <w:rPr>
          <w:rFonts w:hint="eastAsia" w:ascii="仿宋" w:hAnsi="仿宋" w:eastAsia="仿宋" w:cs="仿宋"/>
          <w:sz w:val="28"/>
          <w:szCs w:val="28"/>
          <w:shd w:val="clear" w:color="auto" w:fill="auto"/>
          <w:lang w:val="en-US" w:eastAsia="zh-CN"/>
        </w:rPr>
        <w:t>（一）基本条件</w:t>
      </w:r>
    </w:p>
    <w:p w14:paraId="77FF0264">
      <w:pPr>
        <w:keepNext w:val="0"/>
        <w:keepLines w:val="0"/>
        <w:widowControl/>
        <w:suppressLineNumbers w:val="0"/>
        <w:jc w:val="left"/>
        <w:rPr>
          <w:rFonts w:hint="eastAsia" w:ascii="仿宋" w:hAnsi="仿宋" w:eastAsia="仿宋" w:cs="仿宋"/>
          <w:sz w:val="28"/>
          <w:szCs w:val="28"/>
          <w:shd w:val="clear" w:color="auto" w:fill="auto"/>
        </w:rPr>
      </w:pPr>
      <w:r>
        <w:rPr>
          <w:rFonts w:hint="eastAsia" w:ascii="仿宋" w:hAnsi="仿宋" w:eastAsia="仿宋" w:cs="仿宋"/>
          <w:color w:val="000000"/>
          <w:kern w:val="0"/>
          <w:sz w:val="28"/>
          <w:szCs w:val="28"/>
          <w:shd w:val="clear" w:color="auto" w:fill="auto"/>
          <w:lang w:val="en-US" w:eastAsia="zh-CN"/>
        </w:rPr>
        <w:t xml:space="preserve">1、具有中华人民共和国国籍； </w:t>
      </w:r>
    </w:p>
    <w:p w14:paraId="5B92BEDE">
      <w:pPr>
        <w:keepNext w:val="0"/>
        <w:keepLines w:val="0"/>
        <w:widowControl/>
        <w:suppressLineNumbers w:val="0"/>
        <w:jc w:val="left"/>
        <w:rPr>
          <w:rFonts w:hint="eastAsia" w:ascii="仿宋" w:hAnsi="仿宋" w:eastAsia="仿宋" w:cs="仿宋"/>
          <w:sz w:val="28"/>
          <w:szCs w:val="28"/>
          <w:shd w:val="clear" w:color="auto" w:fill="auto"/>
        </w:rPr>
      </w:pPr>
      <w:r>
        <w:rPr>
          <w:rFonts w:hint="eastAsia" w:ascii="仿宋" w:hAnsi="仿宋" w:eastAsia="仿宋" w:cs="仿宋"/>
          <w:color w:val="000000"/>
          <w:kern w:val="0"/>
          <w:sz w:val="28"/>
          <w:szCs w:val="28"/>
          <w:shd w:val="clear" w:color="auto" w:fill="auto"/>
          <w:lang w:val="en-US" w:eastAsia="zh-CN"/>
        </w:rPr>
        <w:t xml:space="preserve">2.热爱社会主义祖国，拥护中国共产党的领导； </w:t>
      </w:r>
    </w:p>
    <w:p w14:paraId="2BC26F24">
      <w:pPr>
        <w:keepNext w:val="0"/>
        <w:keepLines w:val="0"/>
        <w:widowControl/>
        <w:suppressLineNumbers w:val="0"/>
        <w:jc w:val="left"/>
        <w:rPr>
          <w:rFonts w:hint="eastAsia" w:ascii="仿宋" w:hAnsi="仿宋" w:eastAsia="仿宋" w:cs="仿宋"/>
          <w:sz w:val="28"/>
          <w:szCs w:val="28"/>
          <w:shd w:val="clear" w:color="auto" w:fill="auto"/>
        </w:rPr>
      </w:pPr>
      <w:r>
        <w:rPr>
          <w:rFonts w:hint="eastAsia" w:ascii="仿宋" w:hAnsi="仿宋" w:eastAsia="仿宋" w:cs="仿宋"/>
          <w:color w:val="000000"/>
          <w:kern w:val="0"/>
          <w:sz w:val="28"/>
          <w:szCs w:val="28"/>
          <w:shd w:val="clear" w:color="auto" w:fill="auto"/>
          <w:lang w:val="en-US" w:eastAsia="zh-CN"/>
        </w:rPr>
        <w:t xml:space="preserve">3.遵守宪法和法律，遵守学校规章制度； </w:t>
      </w:r>
    </w:p>
    <w:p w14:paraId="630FB7D0">
      <w:pPr>
        <w:keepNext w:val="0"/>
        <w:keepLines w:val="0"/>
        <w:widowControl/>
        <w:suppressLineNumbers w:val="0"/>
        <w:jc w:val="left"/>
        <w:rPr>
          <w:rFonts w:hint="eastAsia" w:ascii="仿宋" w:hAnsi="仿宋" w:eastAsia="仿宋" w:cs="仿宋"/>
          <w:sz w:val="28"/>
          <w:szCs w:val="28"/>
          <w:shd w:val="clear" w:color="auto" w:fill="auto"/>
        </w:rPr>
      </w:pPr>
      <w:r>
        <w:rPr>
          <w:rFonts w:hint="eastAsia" w:ascii="仿宋" w:hAnsi="仿宋" w:eastAsia="仿宋" w:cs="仿宋"/>
          <w:color w:val="000000"/>
          <w:kern w:val="0"/>
          <w:sz w:val="28"/>
          <w:szCs w:val="28"/>
          <w:shd w:val="clear" w:color="auto" w:fill="auto"/>
          <w:lang w:val="en-US" w:eastAsia="zh-CN"/>
        </w:rPr>
        <w:t xml:space="preserve">4.诚实守信，品学兼优； </w:t>
      </w:r>
    </w:p>
    <w:p w14:paraId="7ADDA3C2">
      <w:pPr>
        <w:keepNext w:val="0"/>
        <w:keepLines w:val="0"/>
        <w:widowControl/>
        <w:suppressLineNumbers w:val="0"/>
        <w:jc w:val="left"/>
        <w:rPr>
          <w:rFonts w:hint="eastAsia" w:ascii="仿宋" w:hAnsi="仿宋" w:eastAsia="仿宋" w:cs="仿宋"/>
          <w:sz w:val="28"/>
          <w:szCs w:val="28"/>
          <w:shd w:val="clear" w:color="auto" w:fill="auto"/>
        </w:rPr>
      </w:pPr>
      <w:r>
        <w:rPr>
          <w:rFonts w:hint="eastAsia" w:ascii="仿宋" w:hAnsi="仿宋" w:eastAsia="仿宋" w:cs="仿宋"/>
          <w:color w:val="000000"/>
          <w:kern w:val="0"/>
          <w:sz w:val="28"/>
          <w:szCs w:val="28"/>
          <w:shd w:val="clear" w:color="auto" w:fill="auto"/>
          <w:lang w:val="en-US" w:eastAsia="zh-CN"/>
        </w:rPr>
        <w:t xml:space="preserve">5.积极参与科学研究和社会实践。 </w:t>
      </w:r>
    </w:p>
    <w:p w14:paraId="727372DB">
      <w:pPr>
        <w:keepNext w:val="0"/>
        <w:keepLines w:val="0"/>
        <w:widowControl/>
        <w:suppressLineNumbers w:val="0"/>
        <w:jc w:val="left"/>
        <w:rPr>
          <w:rFonts w:hint="eastAsia" w:ascii="仿宋" w:hAnsi="仿宋" w:eastAsia="仿宋" w:cs="仿宋"/>
          <w:sz w:val="28"/>
          <w:szCs w:val="28"/>
          <w:shd w:val="clear" w:color="auto" w:fill="auto"/>
        </w:rPr>
      </w:pPr>
      <w:r>
        <w:rPr>
          <w:rFonts w:hint="eastAsia" w:ascii="仿宋" w:hAnsi="仿宋" w:eastAsia="仿宋" w:cs="仿宋"/>
          <w:color w:val="000000"/>
          <w:kern w:val="0"/>
          <w:sz w:val="28"/>
          <w:szCs w:val="28"/>
          <w:shd w:val="clear" w:color="auto" w:fill="auto"/>
          <w:lang w:val="en-US" w:eastAsia="zh-CN"/>
        </w:rPr>
        <w:t xml:space="preserve">（二）有下列情形之一的二年级及以上研究生，不具备当年研究生学业奖学金参评资格： </w:t>
      </w:r>
    </w:p>
    <w:p w14:paraId="2EA59921">
      <w:pPr>
        <w:keepNext w:val="0"/>
        <w:keepLines w:val="0"/>
        <w:widowControl/>
        <w:suppressLineNumbers w:val="0"/>
        <w:jc w:val="left"/>
        <w:rPr>
          <w:rFonts w:hint="eastAsia" w:ascii="仿宋" w:hAnsi="仿宋" w:eastAsia="仿宋" w:cs="仿宋"/>
          <w:sz w:val="28"/>
          <w:szCs w:val="28"/>
          <w:shd w:val="clear" w:color="auto" w:fill="auto"/>
        </w:rPr>
      </w:pPr>
      <w:r>
        <w:rPr>
          <w:rFonts w:hint="eastAsia" w:ascii="仿宋" w:hAnsi="仿宋" w:eastAsia="仿宋" w:cs="仿宋"/>
          <w:color w:val="000000"/>
          <w:kern w:val="0"/>
          <w:sz w:val="28"/>
          <w:szCs w:val="28"/>
          <w:shd w:val="clear" w:color="auto" w:fill="auto"/>
          <w:lang w:val="en-US" w:eastAsia="zh-CN"/>
        </w:rPr>
        <w:t xml:space="preserve">1.评定时间段内违反国家法律法规或校纪校规的； </w:t>
      </w:r>
    </w:p>
    <w:p w14:paraId="04D70FD7">
      <w:pPr>
        <w:keepNext w:val="0"/>
        <w:keepLines w:val="0"/>
        <w:widowControl/>
        <w:suppressLineNumbers w:val="0"/>
        <w:jc w:val="left"/>
        <w:rPr>
          <w:rFonts w:hint="eastAsia" w:ascii="仿宋" w:hAnsi="仿宋" w:eastAsia="仿宋" w:cs="仿宋"/>
          <w:sz w:val="28"/>
          <w:szCs w:val="28"/>
          <w:shd w:val="clear" w:color="auto" w:fill="auto"/>
        </w:rPr>
      </w:pPr>
      <w:r>
        <w:rPr>
          <w:rFonts w:hint="eastAsia" w:ascii="仿宋" w:hAnsi="仿宋" w:eastAsia="仿宋" w:cs="仿宋"/>
          <w:color w:val="000000"/>
          <w:kern w:val="0"/>
          <w:sz w:val="28"/>
          <w:szCs w:val="28"/>
          <w:shd w:val="clear" w:color="auto" w:fill="auto"/>
          <w:lang w:val="en-US" w:eastAsia="zh-CN"/>
        </w:rPr>
        <w:t xml:space="preserve">2.评定时间段内有学术不端行为经查证属实的； </w:t>
      </w:r>
    </w:p>
    <w:p w14:paraId="1BA794F5">
      <w:pPr>
        <w:keepNext w:val="0"/>
        <w:keepLines w:val="0"/>
        <w:widowControl/>
        <w:suppressLineNumbers w:val="0"/>
        <w:jc w:val="left"/>
        <w:rPr>
          <w:rFonts w:hint="eastAsia" w:ascii="仿宋" w:hAnsi="仿宋" w:eastAsia="仿宋" w:cs="仿宋"/>
          <w:sz w:val="28"/>
          <w:szCs w:val="28"/>
          <w:shd w:val="clear" w:color="auto" w:fill="auto"/>
        </w:rPr>
      </w:pPr>
      <w:r>
        <w:rPr>
          <w:rFonts w:hint="eastAsia" w:ascii="仿宋" w:hAnsi="仿宋" w:eastAsia="仿宋" w:cs="仿宋"/>
          <w:color w:val="000000"/>
          <w:kern w:val="0"/>
          <w:sz w:val="28"/>
          <w:szCs w:val="28"/>
          <w:shd w:val="clear" w:color="auto" w:fill="auto"/>
          <w:lang w:val="en-US" w:eastAsia="zh-CN"/>
        </w:rPr>
        <w:t xml:space="preserve">3.评定时间段内学籍状态处于休学、保留学籍的（不包括因国家和北京市公派出国留学或校际交流在境外学习而保留学籍研究生）； </w:t>
      </w:r>
    </w:p>
    <w:p w14:paraId="20871967">
      <w:pPr>
        <w:keepNext w:val="0"/>
        <w:keepLines w:val="0"/>
        <w:widowControl/>
        <w:suppressLineNumbers w:val="0"/>
        <w:jc w:val="left"/>
        <w:rPr>
          <w:rFonts w:hint="eastAsia" w:ascii="仿宋" w:hAnsi="仿宋" w:eastAsia="仿宋" w:cs="仿宋"/>
          <w:sz w:val="28"/>
          <w:szCs w:val="28"/>
          <w:shd w:val="clear" w:color="auto" w:fill="auto"/>
        </w:rPr>
      </w:pPr>
      <w:r>
        <w:rPr>
          <w:rFonts w:hint="eastAsia" w:ascii="仿宋" w:hAnsi="仿宋" w:eastAsia="仿宋" w:cs="仿宋"/>
          <w:color w:val="000000"/>
          <w:kern w:val="0"/>
          <w:sz w:val="28"/>
          <w:szCs w:val="28"/>
          <w:shd w:val="clear" w:color="auto" w:fill="auto"/>
          <w:lang w:val="en-US" w:eastAsia="zh-CN"/>
        </w:rPr>
        <w:t xml:space="preserve">4.超出基本学习年限的； </w:t>
      </w:r>
    </w:p>
    <w:p w14:paraId="0BB1A62D">
      <w:pPr>
        <w:keepNext w:val="0"/>
        <w:keepLines w:val="0"/>
        <w:widowControl/>
        <w:suppressLineNumbers w:val="0"/>
        <w:jc w:val="left"/>
        <w:rPr>
          <w:rFonts w:hint="eastAsia" w:ascii="仿宋" w:hAnsi="仿宋" w:eastAsia="仿宋" w:cs="仿宋"/>
          <w:sz w:val="28"/>
          <w:szCs w:val="28"/>
          <w:shd w:val="clear" w:color="auto" w:fill="auto"/>
        </w:rPr>
      </w:pPr>
      <w:r>
        <w:rPr>
          <w:rFonts w:hint="eastAsia" w:ascii="仿宋" w:hAnsi="仿宋" w:eastAsia="仿宋" w:cs="仿宋"/>
          <w:color w:val="000000"/>
          <w:kern w:val="0"/>
          <w:sz w:val="28"/>
          <w:szCs w:val="28"/>
          <w:shd w:val="clear" w:color="auto" w:fill="auto"/>
          <w:lang w:val="en-US" w:eastAsia="zh-CN"/>
        </w:rPr>
        <w:t xml:space="preserve">5.未缴纳学费或未注册的； </w:t>
      </w:r>
    </w:p>
    <w:p w14:paraId="0130E311">
      <w:pPr>
        <w:keepNext w:val="0"/>
        <w:keepLines w:val="0"/>
        <w:widowControl/>
        <w:suppressLineNumbers w:val="0"/>
        <w:jc w:val="left"/>
        <w:rPr>
          <w:rFonts w:hint="eastAsia" w:ascii="仿宋" w:hAnsi="仿宋" w:eastAsia="仿宋" w:cs="仿宋"/>
          <w:sz w:val="28"/>
          <w:szCs w:val="28"/>
          <w:shd w:val="clear" w:color="auto" w:fill="auto"/>
        </w:rPr>
      </w:pPr>
      <w:r>
        <w:rPr>
          <w:rFonts w:hint="eastAsia" w:ascii="仿宋" w:hAnsi="仿宋" w:eastAsia="仿宋" w:cs="仿宋"/>
          <w:color w:val="000000"/>
          <w:kern w:val="0"/>
          <w:sz w:val="28"/>
          <w:szCs w:val="28"/>
          <w:shd w:val="clear" w:color="auto" w:fill="auto"/>
          <w:lang w:val="en-US" w:eastAsia="zh-CN"/>
        </w:rPr>
        <w:t xml:space="preserve">6.评定时间段内有必修课考试（考核）成绩不合格记录的； </w:t>
      </w:r>
    </w:p>
    <w:p w14:paraId="16CFB1D1">
      <w:pPr>
        <w:keepNext w:val="0"/>
        <w:keepLines w:val="0"/>
        <w:widowControl/>
        <w:suppressLineNumbers w:val="0"/>
        <w:jc w:val="left"/>
        <w:rPr>
          <w:rFonts w:hint="eastAsia" w:ascii="仿宋" w:hAnsi="仿宋" w:eastAsia="仿宋" w:cs="仿宋"/>
          <w:sz w:val="28"/>
          <w:szCs w:val="28"/>
          <w:shd w:val="clear" w:color="auto" w:fill="auto"/>
        </w:rPr>
      </w:pPr>
      <w:r>
        <w:rPr>
          <w:rFonts w:hint="eastAsia" w:ascii="仿宋" w:hAnsi="仿宋" w:eastAsia="仿宋" w:cs="仿宋"/>
          <w:color w:val="000000"/>
          <w:kern w:val="0"/>
          <w:sz w:val="28"/>
          <w:szCs w:val="28"/>
          <w:shd w:val="clear" w:color="auto" w:fill="auto"/>
          <w:lang w:val="en-US" w:eastAsia="zh-CN"/>
        </w:rPr>
        <w:t>7.学校认定的其他情形；</w:t>
      </w:r>
    </w:p>
    <w:p w14:paraId="32CC10A7">
      <w:pPr>
        <w:numPr>
          <w:ilvl w:val="0"/>
          <w:numId w:val="0"/>
        </w:numPr>
        <w:rPr>
          <w:rFonts w:hint="eastAsia" w:ascii="仿宋" w:hAnsi="仿宋" w:eastAsia="仿宋" w:cs="仿宋"/>
          <w:sz w:val="28"/>
          <w:szCs w:val="28"/>
          <w:shd w:val="clear" w:color="auto" w:fill="auto"/>
          <w:lang w:val="en-US" w:eastAsia="zh-CN"/>
        </w:rPr>
      </w:pPr>
      <w:r>
        <w:rPr>
          <w:rFonts w:hint="eastAsia" w:ascii="仿宋" w:hAnsi="仿宋" w:eastAsia="仿宋" w:cs="仿宋"/>
          <w:sz w:val="28"/>
          <w:szCs w:val="28"/>
          <w:shd w:val="clear" w:color="auto" w:fill="auto"/>
          <w:lang w:val="en-US" w:eastAsia="zh-CN"/>
        </w:rPr>
        <w:t>8. 申请材料弄虚作假的。</w:t>
      </w:r>
    </w:p>
    <w:p w14:paraId="012CE086">
      <w:pPr>
        <w:numPr>
          <w:ilvl w:val="0"/>
          <w:numId w:val="0"/>
        </w:numPr>
        <w:rPr>
          <w:rFonts w:hint="eastAsia" w:ascii="仿宋" w:hAnsi="仿宋" w:eastAsia="仿宋" w:cs="仿宋"/>
          <w:sz w:val="28"/>
          <w:szCs w:val="28"/>
          <w:shd w:val="clear" w:color="auto" w:fill="auto"/>
          <w:lang w:val="en-US" w:eastAsia="zh-CN"/>
        </w:rPr>
      </w:pPr>
      <w:r>
        <w:rPr>
          <w:rFonts w:hint="eastAsia" w:ascii="仿宋" w:hAnsi="仿宋" w:eastAsia="仿宋" w:cs="仿宋"/>
          <w:sz w:val="28"/>
          <w:szCs w:val="28"/>
          <w:shd w:val="clear" w:color="auto" w:fill="auto"/>
          <w:lang w:val="en-US" w:eastAsia="zh-CN"/>
        </w:rPr>
        <w:t>（三）其他说明</w:t>
      </w:r>
    </w:p>
    <w:p w14:paraId="119FF9E0">
      <w:pPr>
        <w:rPr>
          <w:rFonts w:hint="eastAsia" w:ascii="仿宋" w:hAnsi="仿宋" w:eastAsia="仿宋" w:cs="仿宋"/>
          <w:sz w:val="28"/>
          <w:szCs w:val="28"/>
          <w:shd w:val="clear" w:color="auto" w:fill="auto"/>
        </w:rPr>
      </w:pPr>
      <w:r>
        <w:rPr>
          <w:rFonts w:hint="eastAsia" w:ascii="仿宋" w:hAnsi="仿宋" w:eastAsia="仿宋" w:cs="仿宋"/>
          <w:sz w:val="28"/>
          <w:szCs w:val="28"/>
          <w:shd w:val="clear" w:color="auto" w:fill="auto"/>
          <w:lang w:val="en-US" w:eastAsia="zh-CN"/>
        </w:rPr>
        <w:t>1.</w:t>
      </w:r>
      <w:r>
        <w:rPr>
          <w:rFonts w:hint="eastAsia" w:ascii="仿宋" w:hAnsi="仿宋" w:eastAsia="仿宋" w:cs="仿宋"/>
          <w:sz w:val="28"/>
          <w:szCs w:val="28"/>
          <w:shd w:val="clear" w:color="auto" w:fill="auto"/>
        </w:rPr>
        <w:t>硕博连读研究生在注册为博士研究生之前，按照硕士研究生身份申请研究生学业奖学金；注册为博士研究生后，按照博士研究生身份申请研究生学业奖学金。</w:t>
      </w:r>
    </w:p>
    <w:p w14:paraId="0DC8699B">
      <w:pPr>
        <w:rPr>
          <w:rFonts w:hint="eastAsia" w:ascii="仿宋" w:hAnsi="仿宋" w:eastAsia="仿宋" w:cs="仿宋"/>
          <w:sz w:val="28"/>
          <w:szCs w:val="28"/>
          <w:shd w:val="clear" w:color="auto" w:fill="auto"/>
        </w:rPr>
      </w:pPr>
      <w:r>
        <w:rPr>
          <w:rFonts w:hint="eastAsia" w:ascii="仿宋" w:hAnsi="仿宋" w:eastAsia="仿宋" w:cs="仿宋"/>
          <w:sz w:val="28"/>
          <w:szCs w:val="28"/>
          <w:shd w:val="clear" w:color="auto" w:fill="auto"/>
          <w:lang w:val="en-US" w:eastAsia="zh-CN"/>
        </w:rPr>
        <w:t>2.</w:t>
      </w:r>
      <w:r>
        <w:rPr>
          <w:rFonts w:hint="eastAsia" w:ascii="仿宋" w:hAnsi="仿宋" w:eastAsia="仿宋" w:cs="仿宋"/>
          <w:sz w:val="28"/>
          <w:szCs w:val="28"/>
          <w:shd w:val="clear" w:color="auto" w:fill="auto"/>
        </w:rPr>
        <w:t>获得研究生学业奖学金奖励的研究生，可以同时申请研究生国家奖学金、研究生国家助学金等其他研究生国家奖助政策以及校内其他研究生奖助政策资助。</w:t>
      </w:r>
    </w:p>
    <w:p w14:paraId="5E6EFD12">
      <w:pPr>
        <w:rPr>
          <w:rFonts w:hint="eastAsia" w:ascii="仿宋" w:hAnsi="仿宋" w:eastAsia="仿宋" w:cs="仿宋"/>
          <w:sz w:val="28"/>
          <w:szCs w:val="28"/>
          <w:shd w:val="clear" w:color="auto" w:fill="auto"/>
        </w:rPr>
      </w:pPr>
      <w:r>
        <w:rPr>
          <w:rFonts w:hint="eastAsia" w:ascii="仿宋" w:hAnsi="仿宋" w:eastAsia="仿宋" w:cs="仿宋"/>
          <w:sz w:val="28"/>
          <w:szCs w:val="28"/>
          <w:shd w:val="clear" w:color="auto" w:fill="auto"/>
          <w:lang w:eastAsia="zh-CN"/>
        </w:rPr>
        <w:t>二</w:t>
      </w:r>
      <w:r>
        <w:rPr>
          <w:rFonts w:hint="eastAsia" w:ascii="仿宋" w:hAnsi="仿宋" w:eastAsia="仿宋" w:cs="仿宋"/>
          <w:sz w:val="28"/>
          <w:szCs w:val="28"/>
          <w:shd w:val="clear" w:color="auto" w:fill="auto"/>
        </w:rPr>
        <w:t>、奖励标准</w:t>
      </w:r>
    </w:p>
    <w:p w14:paraId="63734943">
      <w:pPr>
        <w:rPr>
          <w:rFonts w:hint="eastAsia" w:ascii="仿宋" w:hAnsi="仿宋" w:eastAsia="仿宋" w:cs="仿宋"/>
          <w:sz w:val="28"/>
          <w:szCs w:val="28"/>
          <w:shd w:val="clear" w:color="auto" w:fill="auto"/>
        </w:rPr>
      </w:pPr>
      <w:r>
        <w:rPr>
          <w:rFonts w:hint="eastAsia" w:ascii="仿宋" w:hAnsi="仿宋" w:eastAsia="仿宋" w:cs="仿宋"/>
          <w:sz w:val="28"/>
          <w:szCs w:val="28"/>
          <w:shd w:val="clear" w:color="auto" w:fill="auto"/>
          <w:lang w:val="en-US" w:eastAsia="zh-CN"/>
        </w:rPr>
        <w:t>1.</w:t>
      </w:r>
      <w:r>
        <w:rPr>
          <w:rFonts w:hint="eastAsia" w:ascii="仿宋" w:hAnsi="仿宋" w:eastAsia="仿宋" w:cs="仿宋"/>
          <w:sz w:val="28"/>
          <w:szCs w:val="28"/>
          <w:shd w:val="clear" w:color="auto" w:fill="auto"/>
        </w:rPr>
        <w:t>博士研究生学业奖学金分为两档：一等奖学金奖励比例为30%，奖励金额为每生 1.8 万元；二等奖学金奖励比例为 70%，奖励金额为每生 1.4 万元。</w:t>
      </w:r>
    </w:p>
    <w:p w14:paraId="38F84257">
      <w:pPr>
        <w:ind w:firstLine="280" w:firstLineChars="100"/>
        <w:rPr>
          <w:rFonts w:hint="eastAsia" w:ascii="仿宋" w:hAnsi="仿宋" w:eastAsia="仿宋" w:cs="仿宋"/>
          <w:sz w:val="28"/>
          <w:szCs w:val="28"/>
          <w:shd w:val="clear" w:color="auto" w:fill="auto"/>
        </w:rPr>
      </w:pPr>
      <w:r>
        <w:rPr>
          <w:rFonts w:hint="eastAsia" w:ascii="仿宋" w:hAnsi="仿宋" w:eastAsia="仿宋" w:cs="仿宋"/>
          <w:sz w:val="28"/>
          <w:szCs w:val="28"/>
          <w:shd w:val="clear" w:color="auto" w:fill="auto"/>
          <w:lang w:val="en-US" w:eastAsia="zh-CN"/>
        </w:rPr>
        <w:t>2.</w:t>
      </w:r>
      <w:r>
        <w:rPr>
          <w:rFonts w:hint="eastAsia" w:ascii="仿宋" w:hAnsi="仿宋" w:eastAsia="仿宋" w:cs="仿宋"/>
          <w:sz w:val="28"/>
          <w:szCs w:val="28"/>
          <w:shd w:val="clear" w:color="auto" w:fill="auto"/>
        </w:rPr>
        <w:t>硕士研究生学业奖学金分为两档：一等奖学金奖励比例为30%，奖励金额为每生 1.2 万元；二等奖学金奖励比例为 50%，奖励金额为每生 0.8 万元。</w:t>
      </w:r>
    </w:p>
    <w:p w14:paraId="420CADA9">
      <w:pPr>
        <w:numPr>
          <w:ilvl w:val="0"/>
          <w:numId w:val="0"/>
        </w:numPr>
        <w:ind w:leftChars="0"/>
        <w:rPr>
          <w:rFonts w:hint="eastAsia" w:ascii="仿宋" w:hAnsi="仿宋" w:eastAsia="仿宋" w:cs="仿宋"/>
          <w:sz w:val="28"/>
          <w:szCs w:val="28"/>
          <w:shd w:val="clear" w:color="auto" w:fill="auto"/>
        </w:rPr>
      </w:pPr>
      <w:r>
        <w:rPr>
          <w:rFonts w:hint="eastAsia" w:ascii="仿宋" w:hAnsi="仿宋" w:eastAsia="仿宋" w:cs="仿宋"/>
          <w:sz w:val="28"/>
          <w:szCs w:val="28"/>
          <w:shd w:val="clear" w:color="auto" w:fill="auto"/>
          <w:lang w:eastAsia="zh-CN"/>
        </w:rPr>
        <w:t>三、</w:t>
      </w:r>
      <w:r>
        <w:rPr>
          <w:rFonts w:hint="eastAsia" w:ascii="仿宋" w:hAnsi="仿宋" w:eastAsia="仿宋" w:cs="仿宋"/>
          <w:sz w:val="28"/>
          <w:szCs w:val="28"/>
          <w:shd w:val="clear" w:color="auto" w:fill="auto"/>
        </w:rPr>
        <w:t>评价指标体系</w:t>
      </w:r>
    </w:p>
    <w:p w14:paraId="7771A6A0">
      <w:pPr>
        <w:keepNext w:val="0"/>
        <w:keepLines w:val="0"/>
        <w:widowControl/>
        <w:suppressLineNumbers w:val="0"/>
        <w:jc w:val="left"/>
        <w:rPr>
          <w:rFonts w:hint="eastAsia" w:ascii="仿宋" w:hAnsi="仿宋" w:eastAsia="仿宋" w:cs="仿宋"/>
          <w:sz w:val="28"/>
          <w:szCs w:val="28"/>
          <w:shd w:val="clear" w:color="auto" w:fill="auto"/>
        </w:rPr>
      </w:pPr>
      <w:r>
        <w:rPr>
          <w:rFonts w:hint="eastAsia" w:ascii="仿宋" w:hAnsi="仿宋" w:eastAsia="仿宋" w:cs="仿宋"/>
          <w:sz w:val="28"/>
          <w:szCs w:val="28"/>
          <w:shd w:val="clear" w:color="auto" w:fill="auto"/>
          <w:lang w:val="en-US" w:eastAsia="zh-CN"/>
        </w:rPr>
        <w:t>1.</w:t>
      </w:r>
      <w:r>
        <w:rPr>
          <w:rFonts w:hint="eastAsia" w:ascii="仿宋" w:hAnsi="仿宋" w:eastAsia="仿宋" w:cs="仿宋"/>
          <w:sz w:val="28"/>
          <w:szCs w:val="28"/>
          <w:shd w:val="clear" w:color="auto" w:fill="auto"/>
        </w:rPr>
        <w:t>申请学业奖学金的所有</w:t>
      </w:r>
      <w:bookmarkStart w:id="0" w:name="_GoBack"/>
      <w:bookmarkEnd w:id="0"/>
      <w:r>
        <w:rPr>
          <w:rFonts w:hint="eastAsia" w:ascii="仿宋" w:hAnsi="仿宋" w:eastAsia="仿宋" w:cs="仿宋"/>
          <w:sz w:val="28"/>
          <w:szCs w:val="28"/>
          <w:shd w:val="clear" w:color="auto" w:fill="auto"/>
        </w:rPr>
        <w:t>成果取得时间须为</w:t>
      </w:r>
      <w:r>
        <w:rPr>
          <w:rFonts w:hint="eastAsia" w:ascii="仿宋" w:hAnsi="仿宋" w:eastAsia="仿宋" w:cs="仿宋"/>
          <w:sz w:val="28"/>
          <w:szCs w:val="28"/>
          <w:shd w:val="clear" w:color="auto" w:fill="auto"/>
          <w:lang w:eastAsia="zh-CN"/>
        </w:rPr>
        <w:t>上一学年</w:t>
      </w:r>
      <w:r>
        <w:rPr>
          <w:rFonts w:hint="eastAsia" w:ascii="仿宋" w:hAnsi="仿宋" w:eastAsia="仿宋" w:cs="仿宋"/>
          <w:sz w:val="28"/>
          <w:szCs w:val="28"/>
          <w:shd w:val="clear" w:color="auto" w:fill="auto"/>
        </w:rPr>
        <w:t>9月1日至</w:t>
      </w:r>
      <w:r>
        <w:rPr>
          <w:rFonts w:hint="eastAsia" w:ascii="仿宋" w:hAnsi="仿宋" w:eastAsia="仿宋" w:cs="仿宋"/>
          <w:sz w:val="28"/>
          <w:szCs w:val="28"/>
          <w:shd w:val="clear" w:color="auto" w:fill="auto"/>
          <w:lang w:eastAsia="zh-CN"/>
        </w:rPr>
        <w:t>评奖当年</w:t>
      </w:r>
      <w:r>
        <w:rPr>
          <w:rFonts w:hint="eastAsia" w:ascii="仿宋" w:hAnsi="仿宋" w:eastAsia="仿宋" w:cs="仿宋"/>
          <w:sz w:val="28"/>
          <w:szCs w:val="28"/>
          <w:shd w:val="clear" w:color="auto" w:fill="auto"/>
        </w:rPr>
        <w:t>20</w:t>
      </w:r>
      <w:r>
        <w:rPr>
          <w:rFonts w:hint="eastAsia" w:ascii="仿宋" w:hAnsi="仿宋" w:eastAsia="仿宋" w:cs="仿宋"/>
          <w:sz w:val="28"/>
          <w:szCs w:val="28"/>
          <w:shd w:val="clear" w:color="auto" w:fill="auto"/>
          <w:lang w:val="en-US" w:eastAsia="zh-CN"/>
        </w:rPr>
        <w:t>26</w:t>
      </w:r>
      <w:r>
        <w:rPr>
          <w:rFonts w:hint="eastAsia" w:ascii="仿宋" w:hAnsi="仿宋" w:eastAsia="仿宋" w:cs="仿宋"/>
          <w:sz w:val="28"/>
          <w:szCs w:val="28"/>
          <w:shd w:val="clear" w:color="auto" w:fill="auto"/>
        </w:rPr>
        <w:t>年8月31日，不在此时间范围内的成果不可作为评审材料。</w:t>
      </w:r>
      <w:r>
        <w:rPr>
          <w:rFonts w:hint="eastAsia" w:ascii="仿宋" w:hAnsi="仿宋" w:eastAsia="仿宋" w:cs="仿宋"/>
          <w:color w:val="000000"/>
          <w:kern w:val="0"/>
          <w:sz w:val="28"/>
          <w:szCs w:val="28"/>
          <w:shd w:val="clear" w:color="auto" w:fill="auto"/>
          <w:lang w:val="en-US" w:eastAsia="zh-CN"/>
        </w:rPr>
        <w:t>研究成果以“研究生科研管理系统”内审核通过的成果为准。</w:t>
      </w:r>
      <w:r>
        <w:rPr>
          <w:rFonts w:hint="eastAsia" w:ascii="仿宋" w:hAnsi="仿宋" w:eastAsia="仿宋" w:cs="仿宋"/>
          <w:color w:val="000000"/>
          <w:kern w:val="0"/>
          <w:sz w:val="28"/>
          <w:szCs w:val="28"/>
          <w:lang w:val="en-US" w:eastAsia="zh-CN"/>
        </w:rPr>
        <w:t>同一科研成果仅可计分一次，按就高不就低原则取其最高分值，不得重复或拆分累加。</w:t>
      </w:r>
    </w:p>
    <w:p w14:paraId="456A1ECE">
      <w:pPr>
        <w:numPr>
          <w:ilvl w:val="0"/>
          <w:numId w:val="0"/>
        </w:numPr>
        <w:ind w:leftChars="0"/>
        <w:rPr>
          <w:rFonts w:hint="eastAsia" w:ascii="仿宋" w:hAnsi="仿宋" w:eastAsia="仿宋" w:cs="仿宋"/>
          <w:sz w:val="28"/>
          <w:szCs w:val="28"/>
          <w:shd w:val="clear" w:color="auto" w:fill="auto"/>
        </w:rPr>
      </w:pPr>
      <w:r>
        <w:rPr>
          <w:rFonts w:hint="eastAsia" w:ascii="仿宋" w:hAnsi="仿宋" w:eastAsia="仿宋" w:cs="仿宋"/>
          <w:sz w:val="28"/>
          <w:szCs w:val="28"/>
          <w:shd w:val="clear" w:color="auto" w:fill="auto"/>
          <w:lang w:val="en-US" w:eastAsia="zh-CN"/>
        </w:rPr>
        <w:t>2.</w:t>
      </w:r>
      <w:r>
        <w:rPr>
          <w:rFonts w:hint="eastAsia" w:ascii="仿宋" w:hAnsi="仿宋" w:eastAsia="仿宋" w:cs="仿宋"/>
          <w:sz w:val="28"/>
          <w:szCs w:val="28"/>
          <w:shd w:val="clear" w:color="auto" w:fill="auto"/>
        </w:rPr>
        <w:t>评审以学业成绩为基准，综合考虑学生思想品德、科研成果、社会实践、学生工作等各方面综合表现，按综合成绩的高低确定排名。综合成绩计算办法如下：</w:t>
      </w:r>
    </w:p>
    <w:p w14:paraId="36364BE8">
      <w:pPr>
        <w:rPr>
          <w:rFonts w:hint="eastAsia" w:ascii="仿宋" w:hAnsi="仿宋" w:eastAsia="仿宋" w:cs="仿宋"/>
          <w:sz w:val="28"/>
          <w:szCs w:val="28"/>
          <w:shd w:val="clear" w:color="auto" w:fill="auto"/>
        </w:rPr>
      </w:pPr>
    </w:p>
    <w:p w14:paraId="57FF19BB">
      <w:pPr>
        <w:rPr>
          <w:rFonts w:hint="eastAsia" w:ascii="仿宋" w:hAnsi="仿宋" w:eastAsia="仿宋" w:cs="仿宋"/>
          <w:sz w:val="28"/>
          <w:szCs w:val="28"/>
          <w:shd w:val="clear" w:color="auto" w:fill="auto"/>
        </w:rPr>
      </w:pPr>
      <w:r>
        <w:rPr>
          <w:rFonts w:hint="eastAsia" w:ascii="仿宋" w:hAnsi="仿宋" w:eastAsia="仿宋" w:cs="仿宋"/>
          <w:sz w:val="28"/>
          <w:szCs w:val="28"/>
          <w:shd w:val="clear" w:color="auto" w:fill="auto"/>
          <w:lang w:eastAsia="zh-CN"/>
        </w:rPr>
        <w:t>学硕：</w:t>
      </w:r>
      <w:r>
        <w:rPr>
          <w:rFonts w:hint="eastAsia" w:ascii="仿宋" w:hAnsi="仿宋" w:eastAsia="仿宋" w:cs="仿宋"/>
          <w:sz w:val="28"/>
          <w:szCs w:val="28"/>
          <w:shd w:val="clear" w:color="auto" w:fill="auto"/>
        </w:rPr>
        <w:t>综合成绩=学分加权平均分*70%+学术科研加分*20%+其他加分（含学生工作、社会实践、创新创业、志愿服务等）*10%。</w:t>
      </w:r>
    </w:p>
    <w:p w14:paraId="2C95A0D5">
      <w:pPr>
        <w:rPr>
          <w:rFonts w:hint="eastAsia" w:ascii="仿宋" w:hAnsi="仿宋" w:eastAsia="仿宋" w:cs="仿宋"/>
          <w:sz w:val="28"/>
          <w:szCs w:val="28"/>
          <w:shd w:val="clear" w:color="auto" w:fill="auto"/>
          <w:lang w:eastAsia="zh-CN"/>
        </w:rPr>
      </w:pPr>
      <w:r>
        <w:rPr>
          <w:rFonts w:hint="eastAsia" w:ascii="仿宋" w:hAnsi="仿宋" w:eastAsia="仿宋" w:cs="仿宋"/>
          <w:sz w:val="28"/>
          <w:szCs w:val="28"/>
          <w:shd w:val="clear" w:color="auto" w:fill="auto"/>
          <w:lang w:eastAsia="zh-CN"/>
        </w:rPr>
        <w:t>专硕：</w:t>
      </w:r>
      <w:r>
        <w:rPr>
          <w:rFonts w:hint="eastAsia" w:ascii="仿宋" w:hAnsi="仿宋" w:eastAsia="仿宋" w:cs="仿宋"/>
          <w:sz w:val="28"/>
          <w:szCs w:val="28"/>
          <w:shd w:val="clear" w:color="auto" w:fill="auto"/>
        </w:rPr>
        <w:t>综合成绩=学分加权平均分*</w:t>
      </w:r>
      <w:r>
        <w:rPr>
          <w:rFonts w:hint="eastAsia" w:ascii="仿宋" w:hAnsi="仿宋" w:eastAsia="仿宋" w:cs="仿宋"/>
          <w:sz w:val="28"/>
          <w:szCs w:val="28"/>
          <w:shd w:val="clear" w:color="auto" w:fill="auto"/>
          <w:lang w:val="en-US" w:eastAsia="zh-CN"/>
        </w:rPr>
        <w:t>8</w:t>
      </w:r>
      <w:r>
        <w:rPr>
          <w:rFonts w:hint="eastAsia" w:ascii="仿宋" w:hAnsi="仿宋" w:eastAsia="仿宋" w:cs="仿宋"/>
          <w:sz w:val="28"/>
          <w:szCs w:val="28"/>
          <w:shd w:val="clear" w:color="auto" w:fill="auto"/>
        </w:rPr>
        <w:t>0%+其他加分（含学生工作、社会实践、创新创业、志愿服务等）*</w:t>
      </w:r>
      <w:r>
        <w:rPr>
          <w:rFonts w:hint="eastAsia" w:ascii="仿宋" w:hAnsi="仿宋" w:eastAsia="仿宋" w:cs="仿宋"/>
          <w:sz w:val="28"/>
          <w:szCs w:val="28"/>
          <w:shd w:val="clear" w:color="auto" w:fill="auto"/>
          <w:lang w:val="en-US" w:eastAsia="zh-CN"/>
        </w:rPr>
        <w:t>2</w:t>
      </w:r>
      <w:r>
        <w:rPr>
          <w:rFonts w:hint="eastAsia" w:ascii="仿宋" w:hAnsi="仿宋" w:eastAsia="仿宋" w:cs="仿宋"/>
          <w:sz w:val="28"/>
          <w:szCs w:val="28"/>
          <w:shd w:val="clear" w:color="auto" w:fill="auto"/>
        </w:rPr>
        <w:t>0%。</w:t>
      </w:r>
    </w:p>
    <w:p w14:paraId="547A2CFE">
      <w:pPr>
        <w:rPr>
          <w:rFonts w:hint="eastAsia" w:ascii="仿宋" w:hAnsi="仿宋" w:eastAsia="仿宋" w:cs="仿宋"/>
          <w:sz w:val="28"/>
          <w:szCs w:val="28"/>
          <w:shd w:val="clear" w:color="auto" w:fill="auto"/>
        </w:rPr>
      </w:pPr>
      <w:r>
        <w:rPr>
          <w:rFonts w:hint="eastAsia" w:ascii="仿宋" w:hAnsi="仿宋" w:eastAsia="仿宋" w:cs="仿宋"/>
          <w:sz w:val="28"/>
          <w:szCs w:val="28"/>
          <w:shd w:val="clear" w:color="auto" w:fill="auto"/>
          <w:lang w:val="en-US" w:eastAsia="zh-CN"/>
        </w:rPr>
        <w:t>3.</w:t>
      </w:r>
      <w:r>
        <w:rPr>
          <w:rFonts w:hint="eastAsia" w:ascii="仿宋" w:hAnsi="仿宋" w:eastAsia="仿宋" w:cs="仿宋"/>
          <w:sz w:val="28"/>
          <w:szCs w:val="28"/>
          <w:shd w:val="clear" w:color="auto" w:fill="auto"/>
        </w:rPr>
        <w:t>各加分项规定如下(学生所获奖学金、助学金不计入加分项):</w:t>
      </w:r>
    </w:p>
    <w:p w14:paraId="2FCC61AE">
      <w:pPr>
        <w:widowControl/>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（1）发表学术文章加分</w:t>
      </w:r>
    </w:p>
    <w:tbl>
      <w:tblPr>
        <w:tblStyle w:val="6"/>
        <w:tblW w:w="8117"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autofit"/>
        <w:tblCellMar>
          <w:top w:w="0" w:type="dxa"/>
          <w:left w:w="0" w:type="dxa"/>
          <w:bottom w:w="0" w:type="dxa"/>
          <w:right w:w="0" w:type="dxa"/>
        </w:tblCellMar>
      </w:tblPr>
      <w:tblGrid>
        <w:gridCol w:w="1040"/>
        <w:gridCol w:w="1985"/>
        <w:gridCol w:w="1918"/>
        <w:gridCol w:w="1342"/>
        <w:gridCol w:w="1832"/>
      </w:tblGrid>
      <w:tr w14:paraId="0767A68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040" w:type="dxa"/>
            <w:tcBorders>
              <w:top w:val="outset" w:color="auto" w:sz="6" w:space="0"/>
              <w:left w:val="outset" w:color="auto" w:sz="6" w:space="0"/>
              <w:bottom w:val="outset" w:color="auto" w:sz="6" w:space="0"/>
              <w:right w:val="outset" w:color="auto" w:sz="6" w:space="0"/>
            </w:tcBorders>
            <w:vAlign w:val="center"/>
          </w:tcPr>
          <w:p w14:paraId="05A7923D">
            <w:pPr>
              <w:pStyle w:val="5"/>
              <w:widowControl/>
              <w:spacing w:beforeAutospacing="0" w:afterAutospacing="0"/>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发</w:t>
            </w:r>
            <w:r>
              <w:rPr>
                <w:rFonts w:hint="eastAsia" w:ascii="仿宋" w:hAnsi="仿宋" w:eastAsia="仿宋" w:cs="仿宋"/>
                <w:sz w:val="28"/>
                <w:szCs w:val="28"/>
              </w:rPr>
              <w:t>表文章</w:t>
            </w:r>
            <w:r>
              <w:rPr>
                <w:rFonts w:hint="eastAsia" w:ascii="仿宋" w:hAnsi="仿宋" w:eastAsia="仿宋" w:cs="仿宋"/>
                <w:sz w:val="28"/>
                <w:szCs w:val="28"/>
                <w:lang w:val="en-US" w:eastAsia="zh-CN"/>
              </w:rPr>
              <w:t>级别</w:t>
            </w:r>
          </w:p>
        </w:tc>
        <w:tc>
          <w:tcPr>
            <w:tcW w:w="1985" w:type="dxa"/>
            <w:tcBorders>
              <w:top w:val="outset" w:color="auto" w:sz="6" w:space="0"/>
              <w:left w:val="outset" w:color="auto" w:sz="6" w:space="0"/>
              <w:bottom w:val="outset" w:color="auto" w:sz="6" w:space="0"/>
              <w:right w:val="outset" w:color="auto" w:sz="6" w:space="0"/>
            </w:tcBorders>
            <w:vAlign w:val="center"/>
          </w:tcPr>
          <w:p w14:paraId="08A1F126">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sz w:val="28"/>
                <w:szCs w:val="28"/>
              </w:rPr>
              <w:t>独立完成或第一作者（分/篇）</w:t>
            </w:r>
          </w:p>
        </w:tc>
        <w:tc>
          <w:tcPr>
            <w:tcW w:w="1918" w:type="dxa"/>
            <w:tcBorders>
              <w:top w:val="outset" w:color="auto" w:sz="6" w:space="0"/>
              <w:left w:val="outset" w:color="auto" w:sz="6" w:space="0"/>
              <w:bottom w:val="outset" w:color="auto" w:sz="6" w:space="0"/>
              <w:right w:val="outset" w:color="auto" w:sz="6" w:space="0"/>
            </w:tcBorders>
            <w:vAlign w:val="center"/>
          </w:tcPr>
          <w:p w14:paraId="47AD011E">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sz w:val="28"/>
                <w:szCs w:val="28"/>
              </w:rPr>
              <w:t>第二作者（第一作者</w:t>
            </w:r>
            <w:r>
              <w:rPr>
                <w:rFonts w:hint="eastAsia" w:ascii="仿宋" w:hAnsi="仿宋" w:eastAsia="仿宋" w:cs="仿宋"/>
                <w:sz w:val="28"/>
                <w:szCs w:val="28"/>
                <w:lang w:val="en-US" w:eastAsia="zh-CN"/>
              </w:rPr>
              <w:t>为</w:t>
            </w:r>
            <w:r>
              <w:rPr>
                <w:rFonts w:hint="eastAsia" w:ascii="仿宋" w:hAnsi="仿宋" w:eastAsia="仿宋" w:cs="仿宋"/>
                <w:sz w:val="28"/>
                <w:szCs w:val="28"/>
              </w:rPr>
              <w:t>本人导师）（分/篇）</w:t>
            </w:r>
          </w:p>
        </w:tc>
        <w:tc>
          <w:tcPr>
            <w:tcW w:w="1342" w:type="dxa"/>
            <w:tcBorders>
              <w:top w:val="outset" w:color="auto" w:sz="6" w:space="0"/>
              <w:left w:val="outset" w:color="auto" w:sz="6" w:space="0"/>
              <w:bottom w:val="outset" w:color="auto" w:sz="6" w:space="0"/>
              <w:right w:val="outset" w:color="auto" w:sz="6" w:space="0"/>
            </w:tcBorders>
            <w:vAlign w:val="center"/>
          </w:tcPr>
          <w:p w14:paraId="5310AC39">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sz w:val="28"/>
                <w:szCs w:val="28"/>
                <w:lang w:val="en-US" w:eastAsia="zh-CN"/>
              </w:rPr>
              <w:t>通讯作者</w:t>
            </w:r>
            <w:r>
              <w:rPr>
                <w:rFonts w:hint="eastAsia" w:ascii="仿宋" w:hAnsi="仿宋" w:eastAsia="仿宋" w:cs="仿宋"/>
                <w:sz w:val="28"/>
                <w:szCs w:val="28"/>
              </w:rPr>
              <w:t>（分/篇）</w:t>
            </w:r>
          </w:p>
        </w:tc>
        <w:tc>
          <w:tcPr>
            <w:tcW w:w="1832" w:type="dxa"/>
            <w:tcBorders>
              <w:top w:val="outset" w:color="auto" w:sz="6" w:space="0"/>
              <w:left w:val="outset" w:color="auto" w:sz="6" w:space="0"/>
              <w:bottom w:val="outset" w:color="auto" w:sz="6" w:space="0"/>
              <w:right w:val="outset" w:color="auto" w:sz="6" w:space="0"/>
            </w:tcBorders>
            <w:vAlign w:val="center"/>
          </w:tcPr>
          <w:p w14:paraId="41ABD5C2">
            <w:pPr>
              <w:pStyle w:val="5"/>
              <w:widowControl/>
              <w:spacing w:beforeAutospacing="0" w:afterAutospacing="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其他参与作者</w:t>
            </w:r>
          </w:p>
          <w:p w14:paraId="78343F27">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sz w:val="28"/>
                <w:szCs w:val="28"/>
              </w:rPr>
              <w:t>（分/篇）</w:t>
            </w:r>
          </w:p>
        </w:tc>
      </w:tr>
      <w:tr w14:paraId="596A1C7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040" w:type="dxa"/>
            <w:tcBorders>
              <w:top w:val="outset" w:color="auto" w:sz="6" w:space="0"/>
              <w:left w:val="outset" w:color="auto" w:sz="6" w:space="0"/>
              <w:bottom w:val="outset" w:color="auto" w:sz="6" w:space="0"/>
              <w:right w:val="outset" w:color="auto" w:sz="6" w:space="0"/>
            </w:tcBorders>
            <w:vAlign w:val="center"/>
          </w:tcPr>
          <w:p w14:paraId="5195520A">
            <w:pPr>
              <w:pStyle w:val="5"/>
              <w:widowControl/>
              <w:spacing w:beforeAutospacing="0" w:afterAutospacing="0"/>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中财</w:t>
            </w:r>
          </w:p>
          <w:p w14:paraId="2E6CE136">
            <w:pPr>
              <w:pStyle w:val="5"/>
              <w:widowControl/>
              <w:spacing w:beforeAutospacing="0" w:afterAutospacing="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AAA类</w:t>
            </w:r>
          </w:p>
        </w:tc>
        <w:tc>
          <w:tcPr>
            <w:tcW w:w="1985" w:type="dxa"/>
            <w:tcBorders>
              <w:top w:val="outset" w:color="auto" w:sz="6" w:space="0"/>
              <w:left w:val="outset" w:color="auto" w:sz="6" w:space="0"/>
              <w:bottom w:val="outset" w:color="auto" w:sz="6" w:space="0"/>
              <w:right w:val="outset" w:color="auto" w:sz="6" w:space="0"/>
            </w:tcBorders>
            <w:vAlign w:val="center"/>
          </w:tcPr>
          <w:p w14:paraId="2208AFBB">
            <w:pPr>
              <w:pStyle w:val="5"/>
              <w:widowControl/>
              <w:spacing w:beforeAutospacing="0" w:afterAutospacing="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30</w:t>
            </w:r>
          </w:p>
        </w:tc>
        <w:tc>
          <w:tcPr>
            <w:tcW w:w="1918" w:type="dxa"/>
            <w:tcBorders>
              <w:top w:val="outset" w:color="auto" w:sz="6" w:space="0"/>
              <w:left w:val="outset" w:color="auto" w:sz="6" w:space="0"/>
              <w:bottom w:val="outset" w:color="auto" w:sz="6" w:space="0"/>
              <w:right w:val="outset" w:color="auto" w:sz="6" w:space="0"/>
            </w:tcBorders>
            <w:vAlign w:val="center"/>
          </w:tcPr>
          <w:p w14:paraId="424A6DFA">
            <w:pPr>
              <w:pStyle w:val="5"/>
              <w:widowControl/>
              <w:spacing w:beforeAutospacing="0" w:afterAutospacing="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24</w:t>
            </w:r>
          </w:p>
        </w:tc>
        <w:tc>
          <w:tcPr>
            <w:tcW w:w="1342" w:type="dxa"/>
            <w:tcBorders>
              <w:top w:val="outset" w:color="auto" w:sz="6" w:space="0"/>
              <w:left w:val="outset" w:color="auto" w:sz="6" w:space="0"/>
              <w:bottom w:val="outset" w:color="auto" w:sz="6" w:space="0"/>
              <w:right w:val="outset" w:color="auto" w:sz="6" w:space="0"/>
            </w:tcBorders>
            <w:vAlign w:val="center"/>
          </w:tcPr>
          <w:p w14:paraId="3C69EFE1">
            <w:pPr>
              <w:pStyle w:val="5"/>
              <w:widowControl/>
              <w:spacing w:beforeAutospacing="0" w:afterAutospacing="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24</w:t>
            </w:r>
          </w:p>
        </w:tc>
        <w:tc>
          <w:tcPr>
            <w:tcW w:w="1832" w:type="dxa"/>
            <w:tcBorders>
              <w:top w:val="outset" w:color="auto" w:sz="6" w:space="0"/>
              <w:left w:val="outset" w:color="auto" w:sz="6" w:space="0"/>
              <w:bottom w:val="outset" w:color="auto" w:sz="6" w:space="0"/>
              <w:right w:val="outset" w:color="auto" w:sz="6" w:space="0"/>
            </w:tcBorders>
            <w:vAlign w:val="center"/>
          </w:tcPr>
          <w:p w14:paraId="47245F55">
            <w:pPr>
              <w:pStyle w:val="5"/>
              <w:widowControl/>
              <w:spacing w:beforeAutospacing="0" w:afterAutospacing="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20</w:t>
            </w:r>
          </w:p>
        </w:tc>
      </w:tr>
      <w:tr w14:paraId="62ACD0E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040" w:type="dxa"/>
            <w:tcBorders>
              <w:top w:val="outset" w:color="auto" w:sz="6" w:space="0"/>
              <w:left w:val="outset" w:color="auto" w:sz="6" w:space="0"/>
              <w:bottom w:val="outset" w:color="auto" w:sz="6" w:space="0"/>
              <w:right w:val="outset" w:color="auto" w:sz="6" w:space="0"/>
            </w:tcBorders>
            <w:vAlign w:val="center"/>
          </w:tcPr>
          <w:p w14:paraId="72108638">
            <w:pPr>
              <w:pStyle w:val="5"/>
              <w:widowControl/>
              <w:spacing w:beforeAutospacing="0" w:afterAutospacing="0"/>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中财</w:t>
            </w:r>
          </w:p>
          <w:p w14:paraId="56D3D4BB">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sz w:val="28"/>
                <w:szCs w:val="28"/>
                <w:lang w:val="en-US" w:eastAsia="zh-CN"/>
              </w:rPr>
              <w:t>AA</w:t>
            </w:r>
            <w:r>
              <w:rPr>
                <w:rFonts w:hint="eastAsia" w:ascii="仿宋" w:hAnsi="仿宋" w:eastAsia="仿宋" w:cs="仿宋"/>
                <w:sz w:val="28"/>
                <w:szCs w:val="28"/>
              </w:rPr>
              <w:t>类</w:t>
            </w:r>
          </w:p>
        </w:tc>
        <w:tc>
          <w:tcPr>
            <w:tcW w:w="1985" w:type="dxa"/>
            <w:tcBorders>
              <w:top w:val="outset" w:color="auto" w:sz="6" w:space="0"/>
              <w:left w:val="outset" w:color="auto" w:sz="6" w:space="0"/>
              <w:bottom w:val="outset" w:color="auto" w:sz="6" w:space="0"/>
              <w:right w:val="outset" w:color="auto" w:sz="6" w:space="0"/>
            </w:tcBorders>
            <w:vAlign w:val="center"/>
          </w:tcPr>
          <w:p w14:paraId="1794E44D">
            <w:pPr>
              <w:pStyle w:val="5"/>
              <w:widowControl/>
              <w:spacing w:beforeAutospacing="0" w:afterAutospacing="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20</w:t>
            </w:r>
          </w:p>
        </w:tc>
        <w:tc>
          <w:tcPr>
            <w:tcW w:w="1918" w:type="dxa"/>
            <w:tcBorders>
              <w:top w:val="outset" w:color="auto" w:sz="6" w:space="0"/>
              <w:left w:val="outset" w:color="auto" w:sz="6" w:space="0"/>
              <w:bottom w:val="outset" w:color="auto" w:sz="6" w:space="0"/>
              <w:right w:val="outset" w:color="auto" w:sz="6" w:space="0"/>
            </w:tcBorders>
            <w:vAlign w:val="center"/>
          </w:tcPr>
          <w:p w14:paraId="460713B2">
            <w:pPr>
              <w:pStyle w:val="5"/>
              <w:widowControl/>
              <w:spacing w:beforeAutospacing="0" w:afterAutospacing="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16</w:t>
            </w:r>
          </w:p>
        </w:tc>
        <w:tc>
          <w:tcPr>
            <w:tcW w:w="1342" w:type="dxa"/>
            <w:tcBorders>
              <w:top w:val="outset" w:color="auto" w:sz="6" w:space="0"/>
              <w:left w:val="outset" w:color="auto" w:sz="6" w:space="0"/>
              <w:bottom w:val="outset" w:color="auto" w:sz="6" w:space="0"/>
              <w:right w:val="outset" w:color="auto" w:sz="6" w:space="0"/>
            </w:tcBorders>
            <w:vAlign w:val="center"/>
          </w:tcPr>
          <w:p w14:paraId="188B7692">
            <w:pPr>
              <w:pStyle w:val="5"/>
              <w:widowControl/>
              <w:spacing w:beforeAutospacing="0" w:afterAutospacing="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16</w:t>
            </w:r>
          </w:p>
        </w:tc>
        <w:tc>
          <w:tcPr>
            <w:tcW w:w="1832" w:type="dxa"/>
            <w:tcBorders>
              <w:top w:val="outset" w:color="auto" w:sz="6" w:space="0"/>
              <w:left w:val="outset" w:color="auto" w:sz="6" w:space="0"/>
              <w:bottom w:val="outset" w:color="auto" w:sz="6" w:space="0"/>
              <w:right w:val="outset" w:color="auto" w:sz="6" w:space="0"/>
            </w:tcBorders>
            <w:vAlign w:val="center"/>
          </w:tcPr>
          <w:p w14:paraId="39508FE3">
            <w:pPr>
              <w:pStyle w:val="5"/>
              <w:widowControl/>
              <w:spacing w:beforeAutospacing="0" w:afterAutospacing="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12</w:t>
            </w:r>
          </w:p>
        </w:tc>
      </w:tr>
      <w:tr w14:paraId="252781F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040" w:type="dxa"/>
            <w:tcBorders>
              <w:top w:val="outset" w:color="auto" w:sz="6" w:space="0"/>
              <w:left w:val="outset" w:color="auto" w:sz="6" w:space="0"/>
              <w:bottom w:val="outset" w:color="auto" w:sz="6" w:space="0"/>
              <w:right w:val="outset" w:color="auto" w:sz="6" w:space="0"/>
            </w:tcBorders>
            <w:vAlign w:val="center"/>
          </w:tcPr>
          <w:p w14:paraId="3831FA64">
            <w:pPr>
              <w:pStyle w:val="5"/>
              <w:widowControl/>
              <w:spacing w:beforeAutospacing="0" w:afterAutospacing="0"/>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中财</w:t>
            </w:r>
          </w:p>
          <w:p w14:paraId="1AD80FA8">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sz w:val="28"/>
                <w:szCs w:val="28"/>
                <w:lang w:val="en-US" w:eastAsia="zh-CN"/>
              </w:rPr>
              <w:t>A类</w:t>
            </w:r>
          </w:p>
        </w:tc>
        <w:tc>
          <w:tcPr>
            <w:tcW w:w="1985" w:type="dxa"/>
            <w:tcBorders>
              <w:top w:val="outset" w:color="auto" w:sz="6" w:space="0"/>
              <w:left w:val="outset" w:color="auto" w:sz="6" w:space="0"/>
              <w:bottom w:val="outset" w:color="auto" w:sz="6" w:space="0"/>
              <w:right w:val="outset" w:color="auto" w:sz="6" w:space="0"/>
            </w:tcBorders>
            <w:vAlign w:val="center"/>
          </w:tcPr>
          <w:p w14:paraId="6DDD67A9">
            <w:pPr>
              <w:pStyle w:val="5"/>
              <w:widowControl/>
              <w:spacing w:beforeAutospacing="0" w:afterAutospacing="0"/>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12</w:t>
            </w:r>
          </w:p>
        </w:tc>
        <w:tc>
          <w:tcPr>
            <w:tcW w:w="1918" w:type="dxa"/>
            <w:tcBorders>
              <w:top w:val="outset" w:color="auto" w:sz="6" w:space="0"/>
              <w:left w:val="outset" w:color="auto" w:sz="6" w:space="0"/>
              <w:bottom w:val="outset" w:color="auto" w:sz="6" w:space="0"/>
              <w:right w:val="outset" w:color="auto" w:sz="6" w:space="0"/>
            </w:tcBorders>
            <w:vAlign w:val="center"/>
          </w:tcPr>
          <w:p w14:paraId="61DEB11C">
            <w:pPr>
              <w:pStyle w:val="5"/>
              <w:widowControl/>
              <w:spacing w:beforeAutospacing="0" w:afterAutospacing="0"/>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8</w:t>
            </w:r>
          </w:p>
        </w:tc>
        <w:tc>
          <w:tcPr>
            <w:tcW w:w="1342" w:type="dxa"/>
            <w:tcBorders>
              <w:top w:val="outset" w:color="auto" w:sz="6" w:space="0"/>
              <w:left w:val="outset" w:color="auto" w:sz="6" w:space="0"/>
              <w:bottom w:val="outset" w:color="auto" w:sz="6" w:space="0"/>
              <w:right w:val="outset" w:color="auto" w:sz="6" w:space="0"/>
            </w:tcBorders>
            <w:vAlign w:val="center"/>
          </w:tcPr>
          <w:p w14:paraId="373D5C9C">
            <w:pPr>
              <w:pStyle w:val="5"/>
              <w:widowControl/>
              <w:spacing w:beforeAutospacing="0" w:afterAutospacing="0"/>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8</w:t>
            </w:r>
          </w:p>
        </w:tc>
        <w:tc>
          <w:tcPr>
            <w:tcW w:w="1832" w:type="dxa"/>
            <w:tcBorders>
              <w:top w:val="outset" w:color="auto" w:sz="6" w:space="0"/>
              <w:left w:val="outset" w:color="auto" w:sz="6" w:space="0"/>
              <w:bottom w:val="outset" w:color="auto" w:sz="6" w:space="0"/>
              <w:right w:val="outset" w:color="auto" w:sz="6" w:space="0"/>
            </w:tcBorders>
            <w:vAlign w:val="center"/>
          </w:tcPr>
          <w:p w14:paraId="4816938E">
            <w:pPr>
              <w:pStyle w:val="5"/>
              <w:widowControl/>
              <w:spacing w:beforeAutospacing="0" w:afterAutospacing="0"/>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6</w:t>
            </w:r>
          </w:p>
        </w:tc>
      </w:tr>
      <w:tr w14:paraId="527CADC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040" w:type="dxa"/>
            <w:tcBorders>
              <w:top w:val="outset" w:color="auto" w:sz="6" w:space="0"/>
              <w:left w:val="outset" w:color="auto" w:sz="6" w:space="0"/>
              <w:bottom w:val="outset" w:color="auto" w:sz="6" w:space="0"/>
              <w:right w:val="outset" w:color="auto" w:sz="6" w:space="0"/>
            </w:tcBorders>
            <w:vAlign w:val="center"/>
          </w:tcPr>
          <w:p w14:paraId="2E5F9C1B">
            <w:pPr>
              <w:pStyle w:val="5"/>
              <w:widowControl/>
              <w:spacing w:beforeAutospacing="0" w:afterAutospacing="0"/>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中财</w:t>
            </w:r>
          </w:p>
          <w:p w14:paraId="77B25A63">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sz w:val="28"/>
                <w:szCs w:val="28"/>
              </w:rPr>
              <w:t>B类</w:t>
            </w:r>
          </w:p>
        </w:tc>
        <w:tc>
          <w:tcPr>
            <w:tcW w:w="1985" w:type="dxa"/>
            <w:tcBorders>
              <w:top w:val="outset" w:color="auto" w:sz="6" w:space="0"/>
              <w:left w:val="outset" w:color="auto" w:sz="6" w:space="0"/>
              <w:bottom w:val="outset" w:color="auto" w:sz="6" w:space="0"/>
              <w:right w:val="outset" w:color="auto" w:sz="6" w:space="0"/>
            </w:tcBorders>
            <w:vAlign w:val="center"/>
          </w:tcPr>
          <w:p w14:paraId="104290DD">
            <w:pPr>
              <w:pStyle w:val="5"/>
              <w:widowControl/>
              <w:spacing w:beforeAutospacing="0" w:afterAutospacing="0"/>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4</w:t>
            </w:r>
          </w:p>
        </w:tc>
        <w:tc>
          <w:tcPr>
            <w:tcW w:w="1918" w:type="dxa"/>
            <w:tcBorders>
              <w:top w:val="outset" w:color="auto" w:sz="6" w:space="0"/>
              <w:left w:val="outset" w:color="auto" w:sz="6" w:space="0"/>
              <w:bottom w:val="outset" w:color="auto" w:sz="6" w:space="0"/>
              <w:right w:val="outset" w:color="auto" w:sz="6" w:space="0"/>
            </w:tcBorders>
            <w:vAlign w:val="center"/>
          </w:tcPr>
          <w:p w14:paraId="64BC1C5D">
            <w:pPr>
              <w:pStyle w:val="5"/>
              <w:widowControl/>
              <w:spacing w:beforeAutospacing="0" w:afterAutospacing="0"/>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3</w:t>
            </w:r>
          </w:p>
        </w:tc>
        <w:tc>
          <w:tcPr>
            <w:tcW w:w="1342" w:type="dxa"/>
            <w:tcBorders>
              <w:top w:val="outset" w:color="auto" w:sz="6" w:space="0"/>
              <w:left w:val="outset" w:color="auto" w:sz="6" w:space="0"/>
              <w:bottom w:val="outset" w:color="auto" w:sz="6" w:space="0"/>
              <w:right w:val="outset" w:color="auto" w:sz="6" w:space="0"/>
            </w:tcBorders>
            <w:vAlign w:val="center"/>
          </w:tcPr>
          <w:p w14:paraId="1F9910D3">
            <w:pPr>
              <w:pStyle w:val="5"/>
              <w:widowControl/>
              <w:spacing w:beforeAutospacing="0" w:afterAutospacing="0"/>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3</w:t>
            </w:r>
          </w:p>
        </w:tc>
        <w:tc>
          <w:tcPr>
            <w:tcW w:w="1832" w:type="dxa"/>
            <w:tcBorders>
              <w:top w:val="outset" w:color="auto" w:sz="6" w:space="0"/>
              <w:left w:val="outset" w:color="auto" w:sz="6" w:space="0"/>
              <w:bottom w:val="outset" w:color="auto" w:sz="6" w:space="0"/>
              <w:right w:val="outset" w:color="auto" w:sz="6" w:space="0"/>
            </w:tcBorders>
            <w:vAlign w:val="center"/>
          </w:tcPr>
          <w:p w14:paraId="4E273DDA">
            <w:pPr>
              <w:pStyle w:val="5"/>
              <w:widowControl/>
              <w:spacing w:beforeAutospacing="0" w:afterAutospacing="0"/>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2</w:t>
            </w:r>
          </w:p>
        </w:tc>
      </w:tr>
      <w:tr w14:paraId="6119994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117" w:type="dxa"/>
            <w:gridSpan w:val="5"/>
            <w:tcBorders>
              <w:top w:val="outset" w:color="auto" w:sz="6" w:space="0"/>
              <w:left w:val="outset" w:color="auto" w:sz="6" w:space="0"/>
              <w:bottom w:val="outset" w:color="auto" w:sz="6" w:space="0"/>
              <w:right w:val="outset" w:color="auto" w:sz="6" w:space="0"/>
            </w:tcBorders>
            <w:vAlign w:val="center"/>
          </w:tcPr>
          <w:p w14:paraId="1424C155">
            <w:pPr>
              <w:pStyle w:val="5"/>
              <w:widowControl/>
              <w:spacing w:beforeAutospacing="0" w:afterAutospacing="0"/>
              <w:rPr>
                <w:rFonts w:hint="eastAsia" w:ascii="仿宋" w:hAnsi="仿宋" w:eastAsia="仿宋" w:cs="仿宋"/>
                <w:sz w:val="28"/>
                <w:szCs w:val="28"/>
              </w:rPr>
            </w:pPr>
            <w:r>
              <w:rPr>
                <w:rFonts w:hint="eastAsia" w:ascii="仿宋" w:hAnsi="仿宋" w:eastAsia="仿宋" w:cs="仿宋"/>
                <w:sz w:val="28"/>
                <w:szCs w:val="28"/>
              </w:rPr>
              <w:t>备注：需出具证明材料，发表文章的以刊物封面、封底、目录和自己文章所在页为证明。学生公开发表的期刊论文，不包含用稿通知，也不包含中文期刊学术论文在“中国知网”的网络首发模式。</w:t>
            </w:r>
            <w:r>
              <w:rPr>
                <w:rFonts w:hint="eastAsia" w:ascii="仿宋" w:hAnsi="仿宋" w:eastAsia="仿宋" w:cs="仿宋"/>
                <w:sz w:val="28"/>
                <w:szCs w:val="28"/>
                <w:lang w:val="en-US" w:eastAsia="zh-CN"/>
              </w:rPr>
              <w:t>论文</w:t>
            </w:r>
            <w:r>
              <w:rPr>
                <w:rFonts w:hint="eastAsia" w:ascii="仿宋" w:hAnsi="仿宋" w:eastAsia="仿宋" w:cs="仿宋"/>
                <w:sz w:val="28"/>
                <w:szCs w:val="28"/>
              </w:rPr>
              <w:t>累计加分最高不超过30分。</w:t>
            </w:r>
          </w:p>
        </w:tc>
      </w:tr>
    </w:tbl>
    <w:p w14:paraId="2E19B92B">
      <w:pPr>
        <w:rPr>
          <w:rFonts w:hint="eastAsia" w:ascii="仿宋" w:hAnsi="仿宋" w:eastAsia="仿宋" w:cs="仿宋"/>
          <w:sz w:val="32"/>
          <w:szCs w:val="32"/>
        </w:rPr>
      </w:pPr>
      <w:r>
        <w:rPr>
          <w:rFonts w:eastAsia="仿宋" w:cs="Calibri"/>
          <w:color w:val="363636"/>
          <w:kern w:val="0"/>
          <w:sz w:val="32"/>
          <w:szCs w:val="32"/>
        </w:rPr>
        <w:t> </w:t>
      </w:r>
    </w:p>
    <w:p w14:paraId="6A1105F5">
      <w:pPr>
        <w:rPr>
          <w:rFonts w:hint="eastAsia" w:ascii="仿宋" w:hAnsi="仿宋" w:eastAsia="仿宋" w:cs="仿宋"/>
          <w:sz w:val="32"/>
          <w:szCs w:val="32"/>
        </w:rPr>
      </w:pPr>
      <w:r>
        <w:rPr>
          <w:rFonts w:hint="eastAsia" w:ascii="仿宋" w:hAnsi="仿宋" w:eastAsia="仿宋" w:cs="仿宋"/>
          <w:sz w:val="32"/>
          <w:szCs w:val="32"/>
        </w:rPr>
        <w:t>（2）参与</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主持</w:t>
      </w:r>
      <w:r>
        <w:rPr>
          <w:rFonts w:hint="eastAsia" w:ascii="仿宋" w:hAnsi="仿宋" w:eastAsia="仿宋" w:cs="仿宋"/>
          <w:sz w:val="32"/>
          <w:szCs w:val="32"/>
          <w:lang w:eastAsia="zh-CN"/>
        </w:rPr>
        <w:t>）</w:t>
      </w:r>
      <w:r>
        <w:rPr>
          <w:rFonts w:hint="eastAsia" w:ascii="仿宋" w:hAnsi="仿宋" w:eastAsia="仿宋" w:cs="仿宋"/>
          <w:sz w:val="32"/>
          <w:szCs w:val="32"/>
        </w:rPr>
        <w:t>课题：</w:t>
      </w:r>
    </w:p>
    <w:tbl>
      <w:tblPr>
        <w:tblStyle w:val="6"/>
        <w:tblW w:w="5000" w:type="pct"/>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4161"/>
        <w:gridCol w:w="4161"/>
      </w:tblGrid>
      <w:tr w14:paraId="00B3BFD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28D0D90E">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类别</w:t>
            </w:r>
          </w:p>
        </w:tc>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12AB67DB">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lang w:val="en-US" w:eastAsia="zh-CN"/>
              </w:rPr>
              <w:t>参与</w:t>
            </w:r>
            <w:r>
              <w:rPr>
                <w:rFonts w:hint="eastAsia" w:ascii="仿宋" w:hAnsi="仿宋" w:eastAsia="仿宋" w:cs="仿宋"/>
                <w:color w:val="363636"/>
                <w:sz w:val="28"/>
                <w:szCs w:val="28"/>
              </w:rPr>
              <w:t>（</w:t>
            </w:r>
            <w:r>
              <w:rPr>
                <w:rFonts w:hint="eastAsia" w:ascii="仿宋" w:hAnsi="仿宋" w:eastAsia="仿宋" w:cs="仿宋"/>
                <w:color w:val="363636"/>
                <w:sz w:val="28"/>
                <w:szCs w:val="28"/>
                <w:lang w:val="en-US" w:eastAsia="zh-CN"/>
              </w:rPr>
              <w:t>加</w:t>
            </w:r>
            <w:r>
              <w:rPr>
                <w:rFonts w:hint="eastAsia" w:ascii="仿宋" w:hAnsi="仿宋" w:eastAsia="仿宋" w:cs="仿宋"/>
                <w:color w:val="363636"/>
                <w:sz w:val="28"/>
                <w:szCs w:val="28"/>
              </w:rPr>
              <w:t>分）</w:t>
            </w:r>
          </w:p>
        </w:tc>
      </w:tr>
      <w:tr w14:paraId="5A9D7F8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01FF8E67">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国家级</w:t>
            </w:r>
          </w:p>
        </w:tc>
        <w:tc>
          <w:tcPr>
            <w:tcW w:w="4161" w:type="dxa"/>
            <w:tcBorders>
              <w:top w:val="outset" w:color="auto" w:sz="6" w:space="0"/>
              <w:left w:val="outset" w:color="auto" w:sz="6" w:space="0"/>
              <w:bottom w:val="outset" w:color="auto" w:sz="6" w:space="0"/>
              <w:right w:val="outset" w:color="auto" w:sz="6" w:space="0"/>
            </w:tcBorders>
            <w:shd w:val="clear" w:color="auto" w:fill="FFFFFF"/>
            <w:vAlign w:val="center"/>
          </w:tcPr>
          <w:p w14:paraId="21805500">
            <w:pPr>
              <w:pStyle w:val="5"/>
              <w:widowControl/>
              <w:spacing w:beforeAutospacing="0" w:afterAutospacing="0"/>
              <w:jc w:val="center"/>
              <w:rPr>
                <w:rFonts w:hint="default" w:ascii="仿宋" w:hAnsi="仿宋" w:eastAsia="仿宋" w:cs="仿宋"/>
                <w:sz w:val="28"/>
                <w:szCs w:val="28"/>
                <w:lang w:val="en-US" w:eastAsia="zh-CN"/>
              </w:rPr>
            </w:pPr>
            <w:r>
              <w:rPr>
                <w:rFonts w:hint="eastAsia" w:ascii="仿宋" w:hAnsi="仿宋" w:eastAsia="仿宋" w:cs="仿宋"/>
                <w:color w:val="363636"/>
                <w:sz w:val="28"/>
                <w:szCs w:val="28"/>
                <w:lang w:val="en-US" w:eastAsia="zh-CN"/>
              </w:rPr>
              <w:t>10</w:t>
            </w:r>
          </w:p>
        </w:tc>
      </w:tr>
      <w:tr w14:paraId="1380A17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5CBA2C2B">
            <w:pPr>
              <w:pStyle w:val="5"/>
              <w:widowControl/>
              <w:spacing w:beforeAutospacing="0" w:afterAutospacing="0"/>
              <w:jc w:val="center"/>
              <w:rPr>
                <w:rFonts w:hint="eastAsia" w:ascii="仿宋" w:hAnsi="仿宋" w:eastAsia="仿宋" w:cs="仿宋"/>
                <w:color w:val="363636"/>
                <w:sz w:val="28"/>
                <w:szCs w:val="28"/>
                <w:lang w:val="en-US" w:eastAsia="zh-CN"/>
              </w:rPr>
            </w:pPr>
            <w:r>
              <w:rPr>
                <w:rFonts w:hint="eastAsia" w:ascii="仿宋" w:hAnsi="仿宋" w:eastAsia="仿宋" w:cs="仿宋"/>
                <w:color w:val="363636"/>
                <w:sz w:val="28"/>
                <w:szCs w:val="28"/>
                <w:lang w:val="en-US" w:eastAsia="zh-CN"/>
              </w:rPr>
              <w:t>省部级</w:t>
            </w:r>
          </w:p>
        </w:tc>
        <w:tc>
          <w:tcPr>
            <w:tcW w:w="4161" w:type="dxa"/>
            <w:tcBorders>
              <w:top w:val="outset" w:color="auto" w:sz="6" w:space="0"/>
              <w:left w:val="outset" w:color="auto" w:sz="6" w:space="0"/>
              <w:bottom w:val="outset" w:color="auto" w:sz="6" w:space="0"/>
              <w:right w:val="outset" w:color="auto" w:sz="6" w:space="0"/>
            </w:tcBorders>
            <w:shd w:val="clear" w:color="auto" w:fill="FFFFFF"/>
            <w:vAlign w:val="center"/>
          </w:tcPr>
          <w:p w14:paraId="451E487D">
            <w:pPr>
              <w:pStyle w:val="5"/>
              <w:widowControl/>
              <w:spacing w:beforeAutospacing="0" w:afterAutospacing="0"/>
              <w:jc w:val="center"/>
              <w:rPr>
                <w:rFonts w:hint="default" w:ascii="仿宋" w:hAnsi="仿宋" w:eastAsia="仿宋" w:cs="仿宋"/>
                <w:color w:val="363636"/>
                <w:sz w:val="28"/>
                <w:szCs w:val="28"/>
                <w:lang w:val="en-US" w:eastAsia="zh-CN"/>
              </w:rPr>
            </w:pPr>
            <w:r>
              <w:rPr>
                <w:rFonts w:hint="eastAsia" w:ascii="仿宋" w:hAnsi="仿宋" w:eastAsia="仿宋" w:cs="仿宋"/>
                <w:color w:val="363636"/>
                <w:sz w:val="28"/>
                <w:szCs w:val="28"/>
                <w:lang w:val="en-US" w:eastAsia="zh-CN"/>
              </w:rPr>
              <w:t>8</w:t>
            </w:r>
          </w:p>
        </w:tc>
      </w:tr>
      <w:tr w14:paraId="0F9D6FE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65E1CE40">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市级</w:t>
            </w:r>
          </w:p>
        </w:tc>
        <w:tc>
          <w:tcPr>
            <w:tcW w:w="4161" w:type="dxa"/>
            <w:tcBorders>
              <w:top w:val="outset" w:color="auto" w:sz="6" w:space="0"/>
              <w:left w:val="outset" w:color="auto" w:sz="6" w:space="0"/>
              <w:bottom w:val="outset" w:color="auto" w:sz="6" w:space="0"/>
              <w:right w:val="outset" w:color="auto" w:sz="6" w:space="0"/>
            </w:tcBorders>
            <w:shd w:val="clear" w:color="auto" w:fill="FFFFFF"/>
            <w:vAlign w:val="center"/>
          </w:tcPr>
          <w:p w14:paraId="0722E7E9">
            <w:pPr>
              <w:pStyle w:val="5"/>
              <w:widowControl/>
              <w:spacing w:beforeAutospacing="0" w:afterAutospacing="0"/>
              <w:jc w:val="center"/>
              <w:rPr>
                <w:rFonts w:hint="eastAsia" w:ascii="仿宋" w:hAnsi="仿宋" w:eastAsia="仿宋" w:cs="仿宋"/>
                <w:sz w:val="28"/>
                <w:szCs w:val="28"/>
                <w:lang w:eastAsia="zh-CN"/>
              </w:rPr>
            </w:pPr>
            <w:r>
              <w:rPr>
                <w:rFonts w:hint="eastAsia" w:ascii="仿宋" w:hAnsi="仿宋" w:eastAsia="仿宋" w:cs="仿宋"/>
                <w:color w:val="363636"/>
                <w:sz w:val="28"/>
                <w:szCs w:val="28"/>
                <w:lang w:val="en-US" w:eastAsia="zh-CN"/>
              </w:rPr>
              <w:t>6</w:t>
            </w:r>
          </w:p>
        </w:tc>
      </w:tr>
      <w:tr w14:paraId="1E63E06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41AA2B0A">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校级</w:t>
            </w:r>
          </w:p>
        </w:tc>
        <w:tc>
          <w:tcPr>
            <w:tcW w:w="4161" w:type="dxa"/>
            <w:tcBorders>
              <w:top w:val="outset" w:color="auto" w:sz="6" w:space="0"/>
              <w:left w:val="outset" w:color="auto" w:sz="6" w:space="0"/>
              <w:bottom w:val="outset" w:color="auto" w:sz="6" w:space="0"/>
              <w:right w:val="outset" w:color="auto" w:sz="6" w:space="0"/>
            </w:tcBorders>
            <w:shd w:val="clear" w:color="auto" w:fill="FFFFFF"/>
            <w:vAlign w:val="center"/>
          </w:tcPr>
          <w:p w14:paraId="5595F4D0">
            <w:pPr>
              <w:pStyle w:val="5"/>
              <w:widowControl/>
              <w:spacing w:beforeAutospacing="0" w:afterAutospacing="0"/>
              <w:jc w:val="center"/>
              <w:rPr>
                <w:rFonts w:hint="eastAsia" w:ascii="仿宋" w:hAnsi="仿宋" w:eastAsia="仿宋" w:cs="仿宋"/>
                <w:sz w:val="28"/>
                <w:szCs w:val="28"/>
                <w:lang w:eastAsia="zh-CN"/>
              </w:rPr>
            </w:pPr>
            <w:r>
              <w:rPr>
                <w:rFonts w:hint="eastAsia" w:ascii="仿宋" w:hAnsi="仿宋" w:eastAsia="仿宋" w:cs="仿宋"/>
                <w:color w:val="363636"/>
                <w:sz w:val="28"/>
                <w:szCs w:val="28"/>
                <w:lang w:val="en-US" w:eastAsia="zh-CN"/>
              </w:rPr>
              <w:t>4</w:t>
            </w:r>
          </w:p>
        </w:tc>
      </w:tr>
      <w:tr w14:paraId="03590CE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7457E97D">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院级</w:t>
            </w:r>
          </w:p>
        </w:tc>
        <w:tc>
          <w:tcPr>
            <w:tcW w:w="4161" w:type="dxa"/>
            <w:tcBorders>
              <w:top w:val="outset" w:color="auto" w:sz="6" w:space="0"/>
              <w:left w:val="outset" w:color="auto" w:sz="6" w:space="0"/>
              <w:bottom w:val="outset" w:color="auto" w:sz="6" w:space="0"/>
              <w:right w:val="outset" w:color="auto" w:sz="6" w:space="0"/>
            </w:tcBorders>
            <w:shd w:val="clear" w:color="auto" w:fill="FFFFFF"/>
            <w:vAlign w:val="center"/>
          </w:tcPr>
          <w:p w14:paraId="5C610D9B">
            <w:pPr>
              <w:pStyle w:val="5"/>
              <w:widowControl/>
              <w:spacing w:beforeAutospacing="0" w:afterAutospacing="0"/>
              <w:jc w:val="center"/>
              <w:rPr>
                <w:rFonts w:hint="eastAsia" w:ascii="仿宋" w:hAnsi="仿宋" w:eastAsia="仿宋" w:cs="仿宋"/>
                <w:sz w:val="28"/>
                <w:szCs w:val="28"/>
                <w:lang w:eastAsia="zh-CN"/>
              </w:rPr>
            </w:pPr>
            <w:r>
              <w:rPr>
                <w:rFonts w:hint="eastAsia" w:ascii="仿宋" w:hAnsi="仿宋" w:eastAsia="仿宋" w:cs="仿宋"/>
                <w:color w:val="363636"/>
                <w:sz w:val="28"/>
                <w:szCs w:val="28"/>
                <w:lang w:val="en-US" w:eastAsia="zh-CN"/>
              </w:rPr>
              <w:t>2</w:t>
            </w:r>
          </w:p>
        </w:tc>
      </w:tr>
      <w:tr w14:paraId="5038087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5000" w:type="pct"/>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600023B7">
            <w:pPr>
              <w:pStyle w:val="5"/>
              <w:widowControl/>
              <w:spacing w:beforeAutospacing="0" w:afterAutospacing="0"/>
              <w:rPr>
                <w:rFonts w:hint="default" w:ascii="仿宋" w:hAnsi="仿宋" w:eastAsia="仿宋" w:cs="仿宋"/>
                <w:color w:val="363636"/>
                <w:sz w:val="28"/>
                <w:szCs w:val="28"/>
                <w:lang w:val="en-US" w:eastAsia="zh-CN"/>
              </w:rPr>
            </w:pPr>
            <w:r>
              <w:rPr>
                <w:rFonts w:hint="eastAsia" w:ascii="仿宋" w:hAnsi="仿宋" w:eastAsia="仿宋" w:cs="仿宋"/>
                <w:color w:val="363636"/>
                <w:sz w:val="28"/>
                <w:szCs w:val="28"/>
              </w:rPr>
              <w:t>备注：课题须为已立项项目。</w:t>
            </w:r>
            <w:r>
              <w:rPr>
                <w:rFonts w:hint="eastAsia" w:ascii="仿宋" w:hAnsi="仿宋" w:eastAsia="仿宋" w:cs="仿宋"/>
                <w:color w:val="363636"/>
                <w:sz w:val="28"/>
                <w:szCs w:val="28"/>
                <w:lang w:val="en-US" w:eastAsia="zh-CN"/>
              </w:rPr>
              <w:t>参与</w:t>
            </w:r>
            <w:r>
              <w:rPr>
                <w:rFonts w:hint="eastAsia" w:ascii="仿宋" w:hAnsi="仿宋" w:eastAsia="仿宋" w:cs="仿宋"/>
                <w:color w:val="363636"/>
                <w:sz w:val="28"/>
                <w:szCs w:val="28"/>
              </w:rPr>
              <w:t>课题须由课题负责人开具参与证明</w:t>
            </w:r>
            <w:r>
              <w:rPr>
                <w:rFonts w:hint="eastAsia" w:ascii="仿宋" w:hAnsi="仿宋" w:eastAsia="仿宋" w:cs="仿宋"/>
                <w:color w:val="363636"/>
                <w:sz w:val="28"/>
                <w:szCs w:val="28"/>
                <w:lang w:eastAsia="zh-CN"/>
              </w:rPr>
              <w:t>。</w:t>
            </w:r>
            <w:r>
              <w:rPr>
                <w:rFonts w:hint="eastAsia" w:ascii="仿宋" w:hAnsi="仿宋" w:eastAsia="仿宋" w:cs="仿宋"/>
                <w:color w:val="363636"/>
                <w:sz w:val="28"/>
                <w:szCs w:val="28"/>
              </w:rPr>
              <w:t>以主持人身份申报并立项的课题，在对应级别基础上上调一级计分</w:t>
            </w:r>
            <w:r>
              <w:rPr>
                <w:rFonts w:hint="eastAsia" w:ascii="仿宋" w:hAnsi="仿宋" w:eastAsia="仿宋" w:cs="仿宋"/>
                <w:color w:val="363636"/>
                <w:sz w:val="28"/>
                <w:szCs w:val="28"/>
                <w:lang w:eastAsia="zh-CN"/>
              </w:rPr>
              <w:t>。</w:t>
            </w:r>
            <w:r>
              <w:rPr>
                <w:rFonts w:hint="eastAsia" w:ascii="仿宋" w:hAnsi="仿宋" w:eastAsia="仿宋" w:cs="仿宋"/>
                <w:color w:val="363636"/>
                <w:sz w:val="28"/>
                <w:szCs w:val="28"/>
              </w:rPr>
              <w:t>主持国家级课题按 20 分计</w:t>
            </w:r>
            <w:r>
              <w:rPr>
                <w:rFonts w:hint="eastAsia" w:ascii="仿宋" w:hAnsi="仿宋" w:eastAsia="仿宋" w:cs="仿宋"/>
                <w:color w:val="363636"/>
                <w:sz w:val="28"/>
                <w:szCs w:val="28"/>
                <w:lang w:eastAsia="zh-CN"/>
              </w:rPr>
              <w:t>。</w:t>
            </w:r>
            <w:r>
              <w:rPr>
                <w:rFonts w:hint="eastAsia" w:ascii="仿宋" w:hAnsi="仿宋" w:eastAsia="仿宋" w:cs="仿宋"/>
                <w:color w:val="363636"/>
                <w:sz w:val="28"/>
                <w:szCs w:val="28"/>
              </w:rPr>
              <w:t>课题累计加分最高不超过20分。</w:t>
            </w:r>
          </w:p>
        </w:tc>
      </w:tr>
    </w:tbl>
    <w:p w14:paraId="24D4498F">
      <w:pPr>
        <w:rPr>
          <w:rFonts w:hint="eastAsia" w:ascii="仿宋" w:hAnsi="仿宋" w:eastAsia="仿宋" w:cs="仿宋"/>
          <w:sz w:val="32"/>
          <w:szCs w:val="32"/>
        </w:rPr>
      </w:pPr>
    </w:p>
    <w:p w14:paraId="12C3942D">
      <w:pPr>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学术会议加分</w:t>
      </w:r>
    </w:p>
    <w:tbl>
      <w:tblPr>
        <w:tblStyle w:val="6"/>
        <w:tblW w:w="5000" w:type="pct"/>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4161"/>
        <w:gridCol w:w="4161"/>
      </w:tblGrid>
      <w:tr w14:paraId="72DACE4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4883CBD0">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类别</w:t>
            </w:r>
          </w:p>
        </w:tc>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07186F10">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参加（</w:t>
            </w:r>
            <w:r>
              <w:rPr>
                <w:rFonts w:hint="eastAsia" w:ascii="仿宋" w:hAnsi="仿宋" w:eastAsia="仿宋" w:cs="仿宋"/>
                <w:color w:val="363636"/>
                <w:sz w:val="28"/>
                <w:szCs w:val="28"/>
                <w:lang w:val="en-US" w:eastAsia="zh-CN"/>
              </w:rPr>
              <w:t>加</w:t>
            </w:r>
            <w:r>
              <w:rPr>
                <w:rFonts w:hint="eastAsia" w:ascii="仿宋" w:hAnsi="仿宋" w:eastAsia="仿宋" w:cs="仿宋"/>
                <w:color w:val="363636"/>
                <w:sz w:val="28"/>
                <w:szCs w:val="28"/>
              </w:rPr>
              <w:t>分）</w:t>
            </w:r>
          </w:p>
        </w:tc>
      </w:tr>
      <w:tr w14:paraId="2919F50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33C1A788">
            <w:pPr>
              <w:pStyle w:val="5"/>
              <w:widowControl/>
              <w:spacing w:beforeAutospacing="0" w:afterAutospacing="0"/>
              <w:jc w:val="center"/>
              <w:rPr>
                <w:rFonts w:hint="default" w:ascii="仿宋" w:hAnsi="仿宋" w:eastAsia="仿宋" w:cs="仿宋"/>
                <w:sz w:val="28"/>
                <w:szCs w:val="28"/>
                <w:lang w:val="en-US" w:eastAsia="zh-CN"/>
              </w:rPr>
            </w:pPr>
            <w:r>
              <w:rPr>
                <w:rFonts w:hint="eastAsia" w:ascii="仿宋" w:hAnsi="仿宋" w:eastAsia="仿宋" w:cs="仿宋"/>
                <w:color w:val="363636"/>
                <w:sz w:val="28"/>
                <w:szCs w:val="28"/>
                <w:lang w:val="en-US" w:eastAsia="zh-CN"/>
              </w:rPr>
              <w:t>国际会议</w:t>
            </w:r>
          </w:p>
        </w:tc>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7AB65FFA">
            <w:pPr>
              <w:pStyle w:val="5"/>
              <w:widowControl/>
              <w:spacing w:beforeAutospacing="0" w:afterAutospacing="0"/>
              <w:jc w:val="center"/>
              <w:rPr>
                <w:rFonts w:hint="eastAsia" w:ascii="仿宋" w:hAnsi="仿宋" w:eastAsia="仿宋" w:cs="仿宋"/>
                <w:sz w:val="28"/>
                <w:szCs w:val="28"/>
                <w:lang w:val="en-US" w:eastAsia="zh-CN"/>
              </w:rPr>
            </w:pPr>
            <w:r>
              <w:rPr>
                <w:rFonts w:hint="eastAsia" w:ascii="仿宋" w:hAnsi="仿宋" w:eastAsia="仿宋" w:cs="仿宋"/>
                <w:color w:val="363636"/>
                <w:sz w:val="28"/>
                <w:szCs w:val="28"/>
                <w:lang w:val="en-US" w:eastAsia="zh-CN"/>
              </w:rPr>
              <w:t>3</w:t>
            </w:r>
            <w:r>
              <w:rPr>
                <w:rFonts w:hint="eastAsia" w:ascii="仿宋" w:hAnsi="仿宋" w:eastAsia="仿宋" w:cs="仿宋"/>
                <w:color w:val="363636"/>
                <w:sz w:val="28"/>
                <w:szCs w:val="28"/>
              </w:rPr>
              <w:t>-</w:t>
            </w:r>
            <w:r>
              <w:rPr>
                <w:rFonts w:hint="eastAsia" w:ascii="仿宋" w:hAnsi="仿宋" w:eastAsia="仿宋" w:cs="仿宋"/>
                <w:color w:val="363636"/>
                <w:sz w:val="28"/>
                <w:szCs w:val="28"/>
                <w:lang w:val="en-US" w:eastAsia="zh-CN"/>
              </w:rPr>
              <w:t>5</w:t>
            </w:r>
          </w:p>
        </w:tc>
      </w:tr>
      <w:tr w14:paraId="5510AAC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0ADA3D6C">
            <w:pPr>
              <w:pStyle w:val="5"/>
              <w:widowControl/>
              <w:spacing w:beforeAutospacing="0" w:afterAutospacing="0"/>
              <w:jc w:val="center"/>
              <w:rPr>
                <w:rFonts w:hint="default" w:ascii="仿宋" w:hAnsi="仿宋" w:eastAsia="仿宋" w:cs="仿宋"/>
                <w:color w:val="363636"/>
                <w:sz w:val="28"/>
                <w:szCs w:val="28"/>
                <w:lang w:val="en-US" w:eastAsia="zh-CN"/>
              </w:rPr>
            </w:pPr>
            <w:r>
              <w:rPr>
                <w:rFonts w:hint="eastAsia" w:ascii="仿宋" w:hAnsi="仿宋" w:eastAsia="仿宋" w:cs="仿宋"/>
                <w:color w:val="363636"/>
                <w:sz w:val="28"/>
                <w:szCs w:val="28"/>
                <w:lang w:val="en-US" w:eastAsia="zh-CN"/>
              </w:rPr>
              <w:t>国内会议</w:t>
            </w:r>
          </w:p>
        </w:tc>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4311A940">
            <w:pPr>
              <w:pStyle w:val="5"/>
              <w:widowControl/>
              <w:spacing w:beforeAutospacing="0" w:afterAutospacing="0"/>
              <w:jc w:val="center"/>
              <w:rPr>
                <w:rFonts w:hint="default" w:ascii="仿宋" w:hAnsi="仿宋" w:eastAsia="仿宋" w:cs="仿宋"/>
                <w:color w:val="363636"/>
                <w:sz w:val="28"/>
                <w:szCs w:val="28"/>
                <w:lang w:val="en-US" w:eastAsia="zh-CN"/>
              </w:rPr>
            </w:pPr>
            <w:r>
              <w:rPr>
                <w:rFonts w:hint="eastAsia" w:ascii="仿宋" w:hAnsi="仿宋" w:eastAsia="仿宋" w:cs="仿宋"/>
                <w:color w:val="363636"/>
                <w:sz w:val="28"/>
                <w:szCs w:val="28"/>
                <w:lang w:val="en-US" w:eastAsia="zh-CN"/>
              </w:rPr>
              <w:t>2-4</w:t>
            </w:r>
          </w:p>
        </w:tc>
      </w:tr>
      <w:tr w14:paraId="318BE5B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5000" w:type="pct"/>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2C968F63">
            <w:pPr>
              <w:pStyle w:val="5"/>
              <w:widowControl/>
              <w:spacing w:beforeAutospacing="0" w:afterAutospacing="0"/>
              <w:rPr>
                <w:rFonts w:hint="default" w:ascii="仿宋" w:hAnsi="仿宋" w:eastAsia="仿宋" w:cs="仿宋"/>
                <w:color w:val="363636"/>
                <w:sz w:val="28"/>
                <w:szCs w:val="28"/>
                <w:lang w:val="en-US" w:eastAsia="zh-CN"/>
              </w:rPr>
            </w:pPr>
            <w:r>
              <w:rPr>
                <w:rFonts w:hint="eastAsia" w:ascii="仿宋" w:hAnsi="仿宋" w:eastAsia="仿宋" w:cs="仿宋"/>
                <w:color w:val="363636"/>
                <w:sz w:val="28"/>
                <w:szCs w:val="28"/>
              </w:rPr>
              <w:t>备注：参加学术会议须宣讲论文，仅参会不加分。</w:t>
            </w:r>
            <w:r>
              <w:rPr>
                <w:rFonts w:hint="eastAsia" w:ascii="仿宋" w:hAnsi="仿宋" w:eastAsia="仿宋" w:cs="仿宋"/>
                <w:color w:val="363636"/>
                <w:sz w:val="28"/>
                <w:szCs w:val="28"/>
                <w:lang w:val="en-US" w:eastAsia="zh-CN"/>
              </w:rPr>
              <w:t>研究院</w:t>
            </w:r>
            <w:r>
              <w:rPr>
                <w:rFonts w:hint="eastAsia" w:ascii="仿宋" w:hAnsi="仿宋" w:eastAsia="仿宋" w:cs="仿宋"/>
                <w:color w:val="363636"/>
                <w:sz w:val="28"/>
                <w:szCs w:val="28"/>
              </w:rPr>
              <w:t>评审委员会根据会议级别及影响力，在相应分值范围内评定具体加分</w:t>
            </w:r>
            <w:r>
              <w:rPr>
                <w:rFonts w:hint="eastAsia" w:ascii="仿宋" w:hAnsi="仿宋" w:eastAsia="仿宋" w:cs="仿宋"/>
                <w:color w:val="363636"/>
                <w:sz w:val="28"/>
                <w:szCs w:val="28"/>
                <w:lang w:val="en-US" w:eastAsia="zh-CN"/>
              </w:rPr>
              <w:t>。会议累计加分最高不超过10分。</w:t>
            </w:r>
          </w:p>
        </w:tc>
      </w:tr>
    </w:tbl>
    <w:p w14:paraId="1B569082">
      <w:pPr>
        <w:rPr>
          <w:rFonts w:hint="eastAsia" w:ascii="仿宋" w:hAnsi="仿宋" w:eastAsia="仿宋" w:cs="仿宋"/>
          <w:sz w:val="32"/>
          <w:szCs w:val="32"/>
        </w:rPr>
      </w:pPr>
    </w:p>
    <w:p w14:paraId="1782C16D">
      <w:pPr>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4</w:t>
      </w:r>
      <w:r>
        <w:rPr>
          <w:rFonts w:hint="eastAsia" w:ascii="仿宋" w:hAnsi="仿宋" w:eastAsia="仿宋" w:cs="仿宋"/>
          <w:sz w:val="32"/>
          <w:szCs w:val="32"/>
        </w:rPr>
        <w:t>）参与</w:t>
      </w:r>
      <w:r>
        <w:rPr>
          <w:rFonts w:hint="eastAsia" w:ascii="仿宋" w:hAnsi="仿宋" w:eastAsia="仿宋" w:cs="仿宋"/>
          <w:sz w:val="32"/>
          <w:szCs w:val="32"/>
          <w:lang w:val="en-US" w:eastAsia="zh-CN"/>
        </w:rPr>
        <w:t>各类</w:t>
      </w:r>
      <w:r>
        <w:rPr>
          <w:rFonts w:hint="eastAsia" w:ascii="仿宋" w:hAnsi="仿宋" w:eastAsia="仿宋" w:cs="仿宋"/>
          <w:sz w:val="32"/>
          <w:szCs w:val="32"/>
        </w:rPr>
        <w:t>竞赛加分：</w:t>
      </w:r>
    </w:p>
    <w:tbl>
      <w:tblPr>
        <w:tblStyle w:val="6"/>
        <w:tblW w:w="5000" w:type="pct"/>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4161"/>
        <w:gridCol w:w="4161"/>
      </w:tblGrid>
      <w:tr w14:paraId="0F10903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37649758">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类别</w:t>
            </w:r>
          </w:p>
        </w:tc>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6C64512C">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参加（分）</w:t>
            </w:r>
          </w:p>
        </w:tc>
      </w:tr>
      <w:tr w14:paraId="3D63376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66C5FFB6">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国家级</w:t>
            </w:r>
          </w:p>
        </w:tc>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1E78DCF6">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lang w:val="en-US" w:eastAsia="zh-CN"/>
              </w:rPr>
              <w:t>13-15</w:t>
            </w:r>
          </w:p>
        </w:tc>
      </w:tr>
      <w:tr w14:paraId="021C7FA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02E2409E">
            <w:pPr>
              <w:pStyle w:val="5"/>
              <w:widowControl/>
              <w:spacing w:beforeAutospacing="0" w:afterAutospacing="0"/>
              <w:jc w:val="center"/>
              <w:rPr>
                <w:rFonts w:hint="eastAsia" w:ascii="仿宋" w:hAnsi="仿宋" w:eastAsia="仿宋" w:cs="仿宋"/>
                <w:color w:val="363636"/>
                <w:sz w:val="28"/>
                <w:szCs w:val="28"/>
                <w:lang w:val="en-US" w:eastAsia="zh-CN"/>
              </w:rPr>
            </w:pPr>
            <w:r>
              <w:rPr>
                <w:rFonts w:hint="eastAsia" w:ascii="仿宋" w:hAnsi="仿宋" w:eastAsia="仿宋" w:cs="仿宋"/>
                <w:color w:val="363636"/>
                <w:sz w:val="28"/>
                <w:szCs w:val="28"/>
                <w:lang w:val="en-US" w:eastAsia="zh-CN"/>
              </w:rPr>
              <w:t>省部级</w:t>
            </w:r>
          </w:p>
        </w:tc>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1FB87D39">
            <w:pPr>
              <w:pStyle w:val="5"/>
              <w:widowControl/>
              <w:spacing w:beforeAutospacing="0" w:afterAutospacing="0"/>
              <w:jc w:val="center"/>
              <w:rPr>
                <w:rFonts w:hint="default" w:ascii="仿宋" w:hAnsi="仿宋" w:eastAsia="仿宋" w:cs="仿宋"/>
                <w:color w:val="363636"/>
                <w:sz w:val="28"/>
                <w:szCs w:val="28"/>
                <w:lang w:val="en-US"/>
              </w:rPr>
            </w:pPr>
            <w:r>
              <w:rPr>
                <w:rFonts w:hint="eastAsia" w:ascii="仿宋" w:hAnsi="仿宋" w:eastAsia="仿宋" w:cs="仿宋"/>
                <w:color w:val="363636"/>
                <w:sz w:val="28"/>
                <w:szCs w:val="28"/>
                <w:lang w:val="en-US" w:eastAsia="zh-CN"/>
              </w:rPr>
              <w:t>10-12</w:t>
            </w:r>
          </w:p>
        </w:tc>
      </w:tr>
      <w:tr w14:paraId="0726227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05747779">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市级</w:t>
            </w:r>
          </w:p>
        </w:tc>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0DD1FEA7">
            <w:pPr>
              <w:pStyle w:val="5"/>
              <w:widowControl/>
              <w:spacing w:beforeAutospacing="0" w:afterAutospacing="0"/>
              <w:jc w:val="center"/>
              <w:rPr>
                <w:rFonts w:hint="default" w:ascii="仿宋" w:hAnsi="仿宋" w:eastAsia="仿宋" w:cs="仿宋"/>
                <w:sz w:val="28"/>
                <w:szCs w:val="28"/>
                <w:lang w:val="en-US"/>
              </w:rPr>
            </w:pPr>
            <w:r>
              <w:rPr>
                <w:rFonts w:hint="eastAsia" w:ascii="仿宋" w:hAnsi="仿宋" w:eastAsia="仿宋" w:cs="仿宋"/>
                <w:color w:val="363636"/>
                <w:sz w:val="28"/>
                <w:szCs w:val="28"/>
                <w:lang w:val="en-US" w:eastAsia="zh-CN"/>
              </w:rPr>
              <w:t>7-9</w:t>
            </w:r>
          </w:p>
        </w:tc>
      </w:tr>
      <w:tr w14:paraId="40FAEF8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0B753EDE">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校级</w:t>
            </w:r>
          </w:p>
        </w:tc>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57F205E5">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lang w:val="en-US" w:eastAsia="zh-CN"/>
              </w:rPr>
              <w:t>4-6</w:t>
            </w:r>
          </w:p>
        </w:tc>
      </w:tr>
      <w:tr w14:paraId="4C4B02A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3E985570">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院级</w:t>
            </w:r>
          </w:p>
        </w:tc>
        <w:tc>
          <w:tcPr>
            <w:tcW w:w="2500" w:type="pct"/>
            <w:tcBorders>
              <w:top w:val="outset" w:color="auto" w:sz="6" w:space="0"/>
              <w:left w:val="outset" w:color="auto" w:sz="6" w:space="0"/>
              <w:bottom w:val="outset" w:color="auto" w:sz="6" w:space="0"/>
              <w:right w:val="outset" w:color="auto" w:sz="6" w:space="0"/>
            </w:tcBorders>
            <w:shd w:val="clear" w:color="auto" w:fill="FFFFFF"/>
            <w:vAlign w:val="center"/>
          </w:tcPr>
          <w:p w14:paraId="0CE50424">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lang w:val="en-US" w:eastAsia="zh-CN"/>
              </w:rPr>
              <w:t>1-3</w:t>
            </w:r>
          </w:p>
        </w:tc>
      </w:tr>
      <w:tr w14:paraId="473972C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5000" w:type="pct"/>
            <w:gridSpan w:val="2"/>
            <w:tcBorders>
              <w:top w:val="outset" w:color="auto" w:sz="6" w:space="0"/>
              <w:left w:val="outset" w:color="auto" w:sz="6" w:space="0"/>
              <w:bottom w:val="outset" w:color="auto" w:sz="6" w:space="0"/>
              <w:right w:val="outset" w:color="auto" w:sz="6" w:space="0"/>
            </w:tcBorders>
            <w:shd w:val="clear" w:color="auto" w:fill="FFFFFF"/>
            <w:vAlign w:val="center"/>
          </w:tcPr>
          <w:p w14:paraId="74EEA2F1">
            <w:pPr>
              <w:pStyle w:val="5"/>
              <w:widowControl/>
              <w:spacing w:beforeAutospacing="0" w:afterAutospacing="0"/>
              <w:jc w:val="left"/>
              <w:rPr>
                <w:rFonts w:hint="default" w:ascii="仿宋" w:hAnsi="仿宋" w:eastAsia="仿宋" w:cs="仿宋"/>
                <w:sz w:val="28"/>
                <w:szCs w:val="28"/>
                <w:lang w:val="en-US" w:eastAsia="zh-CN"/>
              </w:rPr>
            </w:pPr>
            <w:r>
              <w:rPr>
                <w:rFonts w:hint="eastAsia" w:ascii="仿宋" w:hAnsi="仿宋" w:eastAsia="仿宋" w:cs="仿宋"/>
                <w:color w:val="363636"/>
                <w:sz w:val="28"/>
                <w:szCs w:val="28"/>
              </w:rPr>
              <w:t>备注：参与竞赛须获奖，仅参与竞赛未获奖不加分</w:t>
            </w:r>
            <w:r>
              <w:rPr>
                <w:rFonts w:hint="eastAsia" w:ascii="仿宋" w:hAnsi="仿宋" w:eastAsia="仿宋" w:cs="仿宋"/>
                <w:color w:val="363636"/>
                <w:sz w:val="28"/>
                <w:szCs w:val="28"/>
                <w:lang w:eastAsia="zh-CN"/>
              </w:rPr>
              <w:t>。</w:t>
            </w:r>
            <w:r>
              <w:rPr>
                <w:rFonts w:hint="eastAsia" w:ascii="仿宋" w:hAnsi="仿宋" w:eastAsia="仿宋" w:cs="仿宋"/>
                <w:color w:val="363636"/>
                <w:sz w:val="28"/>
                <w:szCs w:val="28"/>
                <w:lang w:val="en-US" w:eastAsia="zh-CN"/>
              </w:rPr>
              <w:t>同一类别内，具体加分分值根据所获奖项等级或名次，由研究院评审委员会评定。竞赛累计加分最高不超过30分。</w:t>
            </w:r>
          </w:p>
        </w:tc>
      </w:tr>
    </w:tbl>
    <w:p w14:paraId="6F7B0562">
      <w:pPr>
        <w:rPr>
          <w:rFonts w:hint="eastAsia" w:ascii="仿宋" w:hAnsi="仿宋" w:eastAsia="仿宋" w:cs="仿宋"/>
          <w:sz w:val="32"/>
          <w:szCs w:val="32"/>
        </w:rPr>
      </w:pPr>
      <w:r>
        <w:rPr>
          <w:rFonts w:eastAsia="仿宋" w:cs="Calibri"/>
          <w:sz w:val="32"/>
          <w:szCs w:val="32"/>
        </w:rPr>
        <w:t> </w:t>
      </w:r>
    </w:p>
    <w:p w14:paraId="5D8A7676">
      <w:pPr>
        <w:rPr>
          <w:rFonts w:hint="eastAsia" w:ascii="仿宋" w:hAnsi="仿宋" w:eastAsia="仿宋" w:cs="仿宋"/>
          <w:sz w:val="32"/>
          <w:szCs w:val="32"/>
        </w:rPr>
      </w:pPr>
      <w:r>
        <w:rPr>
          <w:rFonts w:hint="eastAsia" w:ascii="仿宋" w:hAnsi="仿宋" w:eastAsia="仿宋" w:cs="仿宋"/>
          <w:sz w:val="32"/>
          <w:szCs w:val="32"/>
        </w:rPr>
        <w:t>（4）其他加分项：</w:t>
      </w:r>
    </w:p>
    <w:tbl>
      <w:tblPr>
        <w:tblStyle w:val="6"/>
        <w:tblW w:w="5007" w:type="pct"/>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tblLayout w:type="autofit"/>
        <w:tblCellMar>
          <w:top w:w="0" w:type="dxa"/>
          <w:left w:w="0" w:type="dxa"/>
          <w:bottom w:w="0" w:type="dxa"/>
          <w:right w:w="0" w:type="dxa"/>
        </w:tblCellMar>
      </w:tblPr>
      <w:tblGrid>
        <w:gridCol w:w="1388"/>
        <w:gridCol w:w="1388"/>
        <w:gridCol w:w="1388"/>
        <w:gridCol w:w="1388"/>
        <w:gridCol w:w="1389"/>
        <w:gridCol w:w="1393"/>
      </w:tblGrid>
      <w:tr w14:paraId="593DAA0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33" w:type="pct"/>
            <w:tcBorders>
              <w:top w:val="outset" w:color="auto" w:sz="6" w:space="0"/>
              <w:left w:val="outset" w:color="auto" w:sz="6" w:space="0"/>
              <w:bottom w:val="outset" w:color="auto" w:sz="6" w:space="0"/>
              <w:right w:val="outset" w:color="auto" w:sz="6" w:space="0"/>
            </w:tcBorders>
            <w:vAlign w:val="center"/>
          </w:tcPr>
          <w:p w14:paraId="23EF826F">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类别</w:t>
            </w:r>
          </w:p>
        </w:tc>
        <w:tc>
          <w:tcPr>
            <w:tcW w:w="833" w:type="pct"/>
            <w:tcBorders>
              <w:top w:val="outset" w:color="auto" w:sz="6" w:space="0"/>
              <w:left w:val="outset" w:color="auto" w:sz="6" w:space="0"/>
              <w:bottom w:val="outset" w:color="auto" w:sz="6" w:space="0"/>
              <w:right w:val="outset" w:color="auto" w:sz="6" w:space="0"/>
            </w:tcBorders>
            <w:vAlign w:val="center"/>
          </w:tcPr>
          <w:p w14:paraId="366B8F93">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国家级</w:t>
            </w:r>
          </w:p>
        </w:tc>
        <w:tc>
          <w:tcPr>
            <w:tcW w:w="833" w:type="pct"/>
            <w:tcBorders>
              <w:top w:val="outset" w:color="auto" w:sz="6" w:space="0"/>
              <w:left w:val="outset" w:color="auto" w:sz="6" w:space="0"/>
              <w:bottom w:val="outset" w:color="auto" w:sz="6" w:space="0"/>
              <w:right w:val="outset" w:color="auto" w:sz="6" w:space="0"/>
            </w:tcBorders>
            <w:vAlign w:val="center"/>
          </w:tcPr>
          <w:p w14:paraId="575536EE">
            <w:pPr>
              <w:pStyle w:val="5"/>
              <w:widowControl/>
              <w:spacing w:beforeAutospacing="0" w:afterAutospacing="0"/>
              <w:jc w:val="center"/>
              <w:rPr>
                <w:rFonts w:hint="eastAsia" w:ascii="仿宋" w:hAnsi="仿宋" w:eastAsia="仿宋" w:cs="仿宋"/>
                <w:color w:val="363636"/>
                <w:sz w:val="28"/>
                <w:szCs w:val="28"/>
                <w:lang w:val="en-US" w:eastAsia="zh-CN"/>
              </w:rPr>
            </w:pPr>
            <w:r>
              <w:rPr>
                <w:rFonts w:hint="eastAsia" w:ascii="仿宋" w:hAnsi="仿宋" w:eastAsia="仿宋" w:cs="仿宋"/>
                <w:color w:val="363636"/>
                <w:sz w:val="28"/>
                <w:szCs w:val="28"/>
                <w:lang w:val="en-US" w:eastAsia="zh-CN"/>
              </w:rPr>
              <w:t>省部级</w:t>
            </w:r>
          </w:p>
        </w:tc>
        <w:tc>
          <w:tcPr>
            <w:tcW w:w="833" w:type="pct"/>
            <w:tcBorders>
              <w:top w:val="outset" w:color="auto" w:sz="6" w:space="0"/>
              <w:left w:val="outset" w:color="auto" w:sz="6" w:space="0"/>
              <w:bottom w:val="outset" w:color="auto" w:sz="6" w:space="0"/>
              <w:right w:val="outset" w:color="auto" w:sz="6" w:space="0"/>
            </w:tcBorders>
            <w:vAlign w:val="center"/>
          </w:tcPr>
          <w:p w14:paraId="576FDD88">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市级</w:t>
            </w:r>
          </w:p>
        </w:tc>
        <w:tc>
          <w:tcPr>
            <w:tcW w:w="833" w:type="pct"/>
            <w:tcBorders>
              <w:top w:val="outset" w:color="auto" w:sz="6" w:space="0"/>
              <w:left w:val="outset" w:color="auto" w:sz="6" w:space="0"/>
              <w:bottom w:val="outset" w:color="auto" w:sz="6" w:space="0"/>
              <w:right w:val="outset" w:color="auto" w:sz="6" w:space="0"/>
            </w:tcBorders>
            <w:vAlign w:val="center"/>
          </w:tcPr>
          <w:p w14:paraId="79929028">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校级</w:t>
            </w:r>
          </w:p>
        </w:tc>
        <w:tc>
          <w:tcPr>
            <w:tcW w:w="834" w:type="pct"/>
            <w:tcBorders>
              <w:top w:val="outset" w:color="auto" w:sz="6" w:space="0"/>
              <w:left w:val="outset" w:color="auto" w:sz="6" w:space="0"/>
              <w:bottom w:val="outset" w:color="auto" w:sz="6" w:space="0"/>
              <w:right w:val="outset" w:color="auto" w:sz="6" w:space="0"/>
            </w:tcBorders>
            <w:vAlign w:val="center"/>
          </w:tcPr>
          <w:p w14:paraId="06B14200">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院级</w:t>
            </w:r>
          </w:p>
        </w:tc>
      </w:tr>
      <w:tr w14:paraId="170065F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33" w:type="pct"/>
            <w:tcBorders>
              <w:top w:val="outset" w:color="auto" w:sz="6" w:space="0"/>
              <w:left w:val="outset" w:color="auto" w:sz="6" w:space="0"/>
              <w:bottom w:val="outset" w:color="auto" w:sz="6" w:space="0"/>
              <w:right w:val="outset" w:color="auto" w:sz="6" w:space="0"/>
            </w:tcBorders>
            <w:vAlign w:val="center"/>
          </w:tcPr>
          <w:p w14:paraId="2DB0B8F1">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社会实践</w:t>
            </w:r>
          </w:p>
        </w:tc>
        <w:tc>
          <w:tcPr>
            <w:tcW w:w="833" w:type="pct"/>
            <w:tcBorders>
              <w:top w:val="outset" w:color="auto" w:sz="6" w:space="0"/>
              <w:left w:val="outset" w:color="auto" w:sz="6" w:space="0"/>
              <w:bottom w:val="outset" w:color="auto" w:sz="6" w:space="0"/>
              <w:right w:val="outset" w:color="auto" w:sz="6" w:space="0"/>
            </w:tcBorders>
            <w:vAlign w:val="center"/>
          </w:tcPr>
          <w:p w14:paraId="6FB3CCB1">
            <w:pPr>
              <w:pStyle w:val="5"/>
              <w:widowControl/>
              <w:spacing w:beforeAutospacing="0" w:afterAutospacing="0"/>
              <w:jc w:val="center"/>
              <w:rPr>
                <w:rFonts w:hint="default" w:ascii="仿宋" w:hAnsi="仿宋" w:eastAsia="仿宋" w:cs="仿宋"/>
                <w:sz w:val="28"/>
                <w:szCs w:val="28"/>
                <w:lang w:val="en-US" w:eastAsia="zh-CN"/>
              </w:rPr>
            </w:pPr>
            <w:r>
              <w:rPr>
                <w:rFonts w:hint="eastAsia" w:ascii="仿宋" w:hAnsi="仿宋" w:eastAsia="仿宋" w:cs="仿宋"/>
                <w:color w:val="363636"/>
                <w:sz w:val="28"/>
                <w:szCs w:val="28"/>
                <w:lang w:val="en-US" w:eastAsia="zh-CN"/>
              </w:rPr>
              <w:t>10</w:t>
            </w:r>
          </w:p>
        </w:tc>
        <w:tc>
          <w:tcPr>
            <w:tcW w:w="833" w:type="pct"/>
            <w:tcBorders>
              <w:top w:val="outset" w:color="auto" w:sz="6" w:space="0"/>
              <w:left w:val="outset" w:color="auto" w:sz="6" w:space="0"/>
              <w:bottom w:val="outset" w:color="auto" w:sz="6" w:space="0"/>
              <w:right w:val="outset" w:color="auto" w:sz="6" w:space="0"/>
            </w:tcBorders>
            <w:vAlign w:val="center"/>
          </w:tcPr>
          <w:p w14:paraId="4980B9E3">
            <w:pPr>
              <w:pStyle w:val="5"/>
              <w:widowControl/>
              <w:spacing w:beforeAutospacing="0" w:afterAutospacing="0"/>
              <w:jc w:val="center"/>
              <w:rPr>
                <w:rFonts w:hint="eastAsia" w:ascii="仿宋" w:hAnsi="仿宋" w:eastAsia="仿宋" w:cs="仿宋"/>
                <w:color w:val="363636"/>
                <w:sz w:val="28"/>
                <w:szCs w:val="28"/>
                <w:lang w:val="en-US" w:eastAsia="zh-CN"/>
              </w:rPr>
            </w:pPr>
            <w:r>
              <w:rPr>
                <w:rFonts w:hint="eastAsia" w:ascii="仿宋" w:hAnsi="仿宋" w:eastAsia="仿宋" w:cs="仿宋"/>
                <w:color w:val="363636"/>
                <w:sz w:val="28"/>
                <w:szCs w:val="28"/>
                <w:lang w:val="en-US" w:eastAsia="zh-CN"/>
              </w:rPr>
              <w:t>8</w:t>
            </w:r>
          </w:p>
        </w:tc>
        <w:tc>
          <w:tcPr>
            <w:tcW w:w="833" w:type="pct"/>
            <w:tcBorders>
              <w:top w:val="outset" w:color="auto" w:sz="6" w:space="0"/>
              <w:left w:val="outset" w:color="auto" w:sz="6" w:space="0"/>
              <w:bottom w:val="outset" w:color="auto" w:sz="6" w:space="0"/>
              <w:right w:val="outset" w:color="auto" w:sz="6" w:space="0"/>
            </w:tcBorders>
            <w:vAlign w:val="center"/>
          </w:tcPr>
          <w:p w14:paraId="5FC085A7">
            <w:pPr>
              <w:pStyle w:val="5"/>
              <w:widowControl/>
              <w:spacing w:beforeAutospacing="0" w:afterAutospacing="0"/>
              <w:jc w:val="center"/>
              <w:rPr>
                <w:rFonts w:hint="eastAsia" w:ascii="仿宋" w:hAnsi="仿宋" w:eastAsia="仿宋" w:cs="仿宋"/>
                <w:sz w:val="28"/>
                <w:szCs w:val="28"/>
                <w:lang w:eastAsia="zh-CN"/>
              </w:rPr>
            </w:pPr>
            <w:r>
              <w:rPr>
                <w:rFonts w:hint="eastAsia" w:ascii="仿宋" w:hAnsi="仿宋" w:eastAsia="仿宋" w:cs="仿宋"/>
                <w:color w:val="363636"/>
                <w:sz w:val="28"/>
                <w:szCs w:val="28"/>
                <w:lang w:val="en-US" w:eastAsia="zh-CN"/>
              </w:rPr>
              <w:t>6</w:t>
            </w:r>
          </w:p>
        </w:tc>
        <w:tc>
          <w:tcPr>
            <w:tcW w:w="833" w:type="pct"/>
            <w:tcBorders>
              <w:top w:val="outset" w:color="auto" w:sz="6" w:space="0"/>
              <w:left w:val="outset" w:color="auto" w:sz="6" w:space="0"/>
              <w:bottom w:val="outset" w:color="auto" w:sz="6" w:space="0"/>
              <w:right w:val="outset" w:color="auto" w:sz="6" w:space="0"/>
            </w:tcBorders>
            <w:vAlign w:val="center"/>
          </w:tcPr>
          <w:p w14:paraId="77D45279">
            <w:pPr>
              <w:pStyle w:val="5"/>
              <w:widowControl/>
              <w:spacing w:beforeAutospacing="0" w:afterAutospacing="0"/>
              <w:jc w:val="center"/>
              <w:rPr>
                <w:rFonts w:hint="eastAsia" w:ascii="仿宋" w:hAnsi="仿宋" w:eastAsia="仿宋" w:cs="仿宋"/>
                <w:sz w:val="28"/>
                <w:szCs w:val="28"/>
                <w:lang w:eastAsia="zh-CN"/>
              </w:rPr>
            </w:pPr>
            <w:r>
              <w:rPr>
                <w:rFonts w:hint="eastAsia" w:ascii="仿宋" w:hAnsi="仿宋" w:eastAsia="仿宋" w:cs="仿宋"/>
                <w:color w:val="363636"/>
                <w:sz w:val="28"/>
                <w:szCs w:val="28"/>
                <w:lang w:val="en-US" w:eastAsia="zh-CN"/>
              </w:rPr>
              <w:t>4</w:t>
            </w:r>
          </w:p>
        </w:tc>
        <w:tc>
          <w:tcPr>
            <w:tcW w:w="834" w:type="pct"/>
            <w:tcBorders>
              <w:top w:val="outset" w:color="auto" w:sz="6" w:space="0"/>
              <w:left w:val="outset" w:color="auto" w:sz="6" w:space="0"/>
              <w:bottom w:val="outset" w:color="auto" w:sz="6" w:space="0"/>
              <w:right w:val="outset" w:color="auto" w:sz="6" w:space="0"/>
            </w:tcBorders>
            <w:vAlign w:val="center"/>
          </w:tcPr>
          <w:p w14:paraId="276CE0FF">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2</w:t>
            </w:r>
          </w:p>
        </w:tc>
      </w:tr>
      <w:tr w14:paraId="1E4A0E8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33" w:type="pct"/>
            <w:tcBorders>
              <w:top w:val="outset" w:color="auto" w:sz="6" w:space="0"/>
              <w:left w:val="outset" w:color="auto" w:sz="6" w:space="0"/>
              <w:bottom w:val="outset" w:color="auto" w:sz="6" w:space="0"/>
              <w:right w:val="outset" w:color="auto" w:sz="6" w:space="0"/>
            </w:tcBorders>
            <w:vAlign w:val="center"/>
          </w:tcPr>
          <w:p w14:paraId="05555C1A">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创新创业</w:t>
            </w:r>
          </w:p>
        </w:tc>
        <w:tc>
          <w:tcPr>
            <w:tcW w:w="833" w:type="pct"/>
            <w:tcBorders>
              <w:top w:val="outset" w:color="auto" w:sz="6" w:space="0"/>
              <w:left w:val="outset" w:color="auto" w:sz="6" w:space="0"/>
              <w:bottom w:val="outset" w:color="auto" w:sz="6" w:space="0"/>
              <w:right w:val="outset" w:color="auto" w:sz="6" w:space="0"/>
            </w:tcBorders>
            <w:vAlign w:val="center"/>
          </w:tcPr>
          <w:p w14:paraId="36BB05F9">
            <w:pPr>
              <w:pStyle w:val="5"/>
              <w:widowControl/>
              <w:spacing w:beforeAutospacing="0" w:afterAutospacing="0"/>
              <w:jc w:val="center"/>
              <w:rPr>
                <w:rFonts w:hint="default" w:ascii="仿宋" w:hAnsi="仿宋" w:eastAsia="仿宋" w:cs="仿宋"/>
                <w:sz w:val="28"/>
                <w:szCs w:val="28"/>
                <w:lang w:val="en-US" w:eastAsia="zh-CN"/>
              </w:rPr>
            </w:pPr>
            <w:r>
              <w:rPr>
                <w:rFonts w:hint="eastAsia" w:ascii="仿宋" w:hAnsi="仿宋" w:eastAsia="仿宋" w:cs="仿宋"/>
                <w:color w:val="363636"/>
                <w:sz w:val="28"/>
                <w:szCs w:val="28"/>
                <w:lang w:val="en-US" w:eastAsia="zh-CN"/>
              </w:rPr>
              <w:t>10</w:t>
            </w:r>
          </w:p>
        </w:tc>
        <w:tc>
          <w:tcPr>
            <w:tcW w:w="833" w:type="pct"/>
            <w:tcBorders>
              <w:top w:val="outset" w:color="auto" w:sz="6" w:space="0"/>
              <w:left w:val="outset" w:color="auto" w:sz="6" w:space="0"/>
              <w:bottom w:val="outset" w:color="auto" w:sz="6" w:space="0"/>
              <w:right w:val="outset" w:color="auto" w:sz="6" w:space="0"/>
            </w:tcBorders>
            <w:vAlign w:val="center"/>
          </w:tcPr>
          <w:p w14:paraId="7984A2A0">
            <w:pPr>
              <w:pStyle w:val="5"/>
              <w:widowControl/>
              <w:spacing w:beforeAutospacing="0" w:afterAutospacing="0"/>
              <w:jc w:val="center"/>
              <w:rPr>
                <w:rFonts w:hint="eastAsia" w:ascii="仿宋" w:hAnsi="仿宋" w:eastAsia="仿宋" w:cs="仿宋"/>
                <w:color w:val="363636"/>
                <w:sz w:val="28"/>
                <w:szCs w:val="28"/>
                <w:lang w:val="en-US" w:eastAsia="zh-CN"/>
              </w:rPr>
            </w:pPr>
            <w:r>
              <w:rPr>
                <w:rFonts w:hint="eastAsia" w:ascii="仿宋" w:hAnsi="仿宋" w:eastAsia="仿宋" w:cs="仿宋"/>
                <w:color w:val="363636"/>
                <w:sz w:val="28"/>
                <w:szCs w:val="28"/>
                <w:lang w:val="en-US" w:eastAsia="zh-CN"/>
              </w:rPr>
              <w:t>8</w:t>
            </w:r>
          </w:p>
        </w:tc>
        <w:tc>
          <w:tcPr>
            <w:tcW w:w="833" w:type="pct"/>
            <w:tcBorders>
              <w:top w:val="outset" w:color="auto" w:sz="6" w:space="0"/>
              <w:left w:val="outset" w:color="auto" w:sz="6" w:space="0"/>
              <w:bottom w:val="outset" w:color="auto" w:sz="6" w:space="0"/>
              <w:right w:val="outset" w:color="auto" w:sz="6" w:space="0"/>
            </w:tcBorders>
            <w:vAlign w:val="center"/>
          </w:tcPr>
          <w:p w14:paraId="3FE0E199">
            <w:pPr>
              <w:pStyle w:val="5"/>
              <w:widowControl/>
              <w:spacing w:beforeAutospacing="0" w:afterAutospacing="0"/>
              <w:jc w:val="center"/>
              <w:rPr>
                <w:rFonts w:hint="eastAsia" w:ascii="仿宋" w:hAnsi="仿宋" w:eastAsia="仿宋" w:cs="仿宋"/>
                <w:sz w:val="28"/>
                <w:szCs w:val="28"/>
                <w:lang w:eastAsia="zh-CN"/>
              </w:rPr>
            </w:pPr>
            <w:r>
              <w:rPr>
                <w:rFonts w:hint="eastAsia" w:ascii="仿宋" w:hAnsi="仿宋" w:eastAsia="仿宋" w:cs="仿宋"/>
                <w:color w:val="363636"/>
                <w:sz w:val="28"/>
                <w:szCs w:val="28"/>
                <w:lang w:val="en-US" w:eastAsia="zh-CN"/>
              </w:rPr>
              <w:t>6</w:t>
            </w:r>
          </w:p>
        </w:tc>
        <w:tc>
          <w:tcPr>
            <w:tcW w:w="833" w:type="pct"/>
            <w:tcBorders>
              <w:top w:val="outset" w:color="auto" w:sz="6" w:space="0"/>
              <w:left w:val="outset" w:color="auto" w:sz="6" w:space="0"/>
              <w:bottom w:val="outset" w:color="auto" w:sz="6" w:space="0"/>
              <w:right w:val="outset" w:color="auto" w:sz="6" w:space="0"/>
            </w:tcBorders>
            <w:vAlign w:val="center"/>
          </w:tcPr>
          <w:p w14:paraId="313B70A4">
            <w:pPr>
              <w:pStyle w:val="5"/>
              <w:widowControl/>
              <w:spacing w:beforeAutospacing="0" w:afterAutospacing="0"/>
              <w:jc w:val="center"/>
              <w:rPr>
                <w:rFonts w:hint="eastAsia" w:ascii="仿宋" w:hAnsi="仿宋" w:eastAsia="仿宋" w:cs="仿宋"/>
                <w:sz w:val="28"/>
                <w:szCs w:val="28"/>
                <w:lang w:eastAsia="zh-CN"/>
              </w:rPr>
            </w:pPr>
            <w:r>
              <w:rPr>
                <w:rFonts w:hint="eastAsia" w:ascii="仿宋" w:hAnsi="仿宋" w:eastAsia="仿宋" w:cs="仿宋"/>
                <w:color w:val="363636"/>
                <w:sz w:val="28"/>
                <w:szCs w:val="28"/>
                <w:lang w:val="en-US" w:eastAsia="zh-CN"/>
              </w:rPr>
              <w:t>4</w:t>
            </w:r>
          </w:p>
        </w:tc>
        <w:tc>
          <w:tcPr>
            <w:tcW w:w="834" w:type="pct"/>
            <w:tcBorders>
              <w:top w:val="outset" w:color="auto" w:sz="6" w:space="0"/>
              <w:left w:val="outset" w:color="auto" w:sz="6" w:space="0"/>
              <w:bottom w:val="outset" w:color="auto" w:sz="6" w:space="0"/>
              <w:right w:val="outset" w:color="auto" w:sz="6" w:space="0"/>
            </w:tcBorders>
            <w:vAlign w:val="center"/>
          </w:tcPr>
          <w:p w14:paraId="505D170C">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2</w:t>
            </w:r>
          </w:p>
        </w:tc>
      </w:tr>
      <w:tr w14:paraId="19F331B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33" w:type="pct"/>
            <w:tcBorders>
              <w:top w:val="outset" w:color="auto" w:sz="6" w:space="0"/>
              <w:left w:val="outset" w:color="auto" w:sz="6" w:space="0"/>
              <w:bottom w:val="outset" w:color="auto" w:sz="6" w:space="0"/>
              <w:right w:val="outset" w:color="auto" w:sz="6" w:space="0"/>
            </w:tcBorders>
            <w:vAlign w:val="center"/>
          </w:tcPr>
          <w:p w14:paraId="1A1C7C2F">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志愿服务</w:t>
            </w:r>
          </w:p>
        </w:tc>
        <w:tc>
          <w:tcPr>
            <w:tcW w:w="833" w:type="pct"/>
            <w:tcBorders>
              <w:top w:val="outset" w:color="auto" w:sz="6" w:space="0"/>
              <w:left w:val="outset" w:color="auto" w:sz="6" w:space="0"/>
              <w:bottom w:val="outset" w:color="auto" w:sz="6" w:space="0"/>
              <w:right w:val="outset" w:color="auto" w:sz="6" w:space="0"/>
            </w:tcBorders>
            <w:vAlign w:val="center"/>
          </w:tcPr>
          <w:p w14:paraId="51D4C574">
            <w:pPr>
              <w:pStyle w:val="5"/>
              <w:widowControl/>
              <w:spacing w:beforeAutospacing="0" w:afterAutospacing="0"/>
              <w:jc w:val="center"/>
              <w:rPr>
                <w:rFonts w:hint="default" w:ascii="仿宋" w:hAnsi="仿宋" w:eastAsia="仿宋" w:cs="仿宋"/>
                <w:sz w:val="28"/>
                <w:szCs w:val="28"/>
                <w:lang w:val="en-US" w:eastAsia="zh-CN"/>
              </w:rPr>
            </w:pPr>
            <w:r>
              <w:rPr>
                <w:rFonts w:hint="eastAsia" w:ascii="仿宋" w:hAnsi="仿宋" w:eastAsia="仿宋" w:cs="仿宋"/>
                <w:color w:val="363636"/>
                <w:sz w:val="28"/>
                <w:szCs w:val="28"/>
                <w:lang w:val="en-US" w:eastAsia="zh-CN"/>
              </w:rPr>
              <w:t>10</w:t>
            </w:r>
          </w:p>
        </w:tc>
        <w:tc>
          <w:tcPr>
            <w:tcW w:w="833" w:type="pct"/>
            <w:tcBorders>
              <w:top w:val="outset" w:color="auto" w:sz="6" w:space="0"/>
              <w:left w:val="outset" w:color="auto" w:sz="6" w:space="0"/>
              <w:bottom w:val="outset" w:color="auto" w:sz="6" w:space="0"/>
              <w:right w:val="outset" w:color="auto" w:sz="6" w:space="0"/>
            </w:tcBorders>
            <w:vAlign w:val="center"/>
          </w:tcPr>
          <w:p w14:paraId="308003A2">
            <w:pPr>
              <w:pStyle w:val="5"/>
              <w:widowControl/>
              <w:spacing w:beforeAutospacing="0" w:afterAutospacing="0"/>
              <w:jc w:val="center"/>
              <w:rPr>
                <w:rFonts w:hint="eastAsia" w:ascii="仿宋" w:hAnsi="仿宋" w:eastAsia="仿宋" w:cs="仿宋"/>
                <w:color w:val="363636"/>
                <w:sz w:val="28"/>
                <w:szCs w:val="28"/>
                <w:lang w:val="en-US" w:eastAsia="zh-CN"/>
              </w:rPr>
            </w:pPr>
            <w:r>
              <w:rPr>
                <w:rFonts w:hint="eastAsia" w:ascii="仿宋" w:hAnsi="仿宋" w:eastAsia="仿宋" w:cs="仿宋"/>
                <w:color w:val="363636"/>
                <w:sz w:val="28"/>
                <w:szCs w:val="28"/>
                <w:lang w:val="en-US" w:eastAsia="zh-CN"/>
              </w:rPr>
              <w:t>8</w:t>
            </w:r>
          </w:p>
        </w:tc>
        <w:tc>
          <w:tcPr>
            <w:tcW w:w="833" w:type="pct"/>
            <w:tcBorders>
              <w:top w:val="outset" w:color="auto" w:sz="6" w:space="0"/>
              <w:left w:val="outset" w:color="auto" w:sz="6" w:space="0"/>
              <w:bottom w:val="outset" w:color="auto" w:sz="6" w:space="0"/>
              <w:right w:val="outset" w:color="auto" w:sz="6" w:space="0"/>
            </w:tcBorders>
            <w:vAlign w:val="center"/>
          </w:tcPr>
          <w:p w14:paraId="6AA7DDB0">
            <w:pPr>
              <w:pStyle w:val="5"/>
              <w:widowControl/>
              <w:spacing w:beforeAutospacing="0" w:afterAutospacing="0"/>
              <w:jc w:val="center"/>
              <w:rPr>
                <w:rFonts w:hint="eastAsia" w:ascii="仿宋" w:hAnsi="仿宋" w:eastAsia="仿宋" w:cs="仿宋"/>
                <w:sz w:val="28"/>
                <w:szCs w:val="28"/>
                <w:lang w:eastAsia="zh-CN"/>
              </w:rPr>
            </w:pPr>
            <w:r>
              <w:rPr>
                <w:rFonts w:hint="eastAsia" w:ascii="仿宋" w:hAnsi="仿宋" w:eastAsia="仿宋" w:cs="仿宋"/>
                <w:color w:val="363636"/>
                <w:sz w:val="28"/>
                <w:szCs w:val="28"/>
                <w:lang w:val="en-US" w:eastAsia="zh-CN"/>
              </w:rPr>
              <w:t>6</w:t>
            </w:r>
          </w:p>
        </w:tc>
        <w:tc>
          <w:tcPr>
            <w:tcW w:w="833" w:type="pct"/>
            <w:tcBorders>
              <w:top w:val="outset" w:color="auto" w:sz="6" w:space="0"/>
              <w:left w:val="outset" w:color="auto" w:sz="6" w:space="0"/>
              <w:bottom w:val="outset" w:color="auto" w:sz="6" w:space="0"/>
              <w:right w:val="outset" w:color="auto" w:sz="6" w:space="0"/>
            </w:tcBorders>
            <w:vAlign w:val="center"/>
          </w:tcPr>
          <w:p w14:paraId="44F08E04">
            <w:pPr>
              <w:pStyle w:val="5"/>
              <w:widowControl/>
              <w:spacing w:beforeAutospacing="0" w:afterAutospacing="0"/>
              <w:jc w:val="center"/>
              <w:rPr>
                <w:rFonts w:hint="eastAsia" w:ascii="仿宋" w:hAnsi="仿宋" w:eastAsia="仿宋" w:cs="仿宋"/>
                <w:sz w:val="28"/>
                <w:szCs w:val="28"/>
                <w:lang w:eastAsia="zh-CN"/>
              </w:rPr>
            </w:pPr>
            <w:r>
              <w:rPr>
                <w:rFonts w:hint="eastAsia" w:ascii="仿宋" w:hAnsi="仿宋" w:eastAsia="仿宋" w:cs="仿宋"/>
                <w:color w:val="363636"/>
                <w:sz w:val="28"/>
                <w:szCs w:val="28"/>
                <w:lang w:val="en-US" w:eastAsia="zh-CN"/>
              </w:rPr>
              <w:t>4</w:t>
            </w:r>
          </w:p>
        </w:tc>
        <w:tc>
          <w:tcPr>
            <w:tcW w:w="834" w:type="pct"/>
            <w:tcBorders>
              <w:top w:val="outset" w:color="auto" w:sz="6" w:space="0"/>
              <w:left w:val="outset" w:color="auto" w:sz="6" w:space="0"/>
              <w:bottom w:val="outset" w:color="auto" w:sz="6" w:space="0"/>
              <w:right w:val="outset" w:color="auto" w:sz="6" w:space="0"/>
            </w:tcBorders>
            <w:vAlign w:val="center"/>
          </w:tcPr>
          <w:p w14:paraId="5B850A91">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2</w:t>
            </w:r>
          </w:p>
        </w:tc>
      </w:tr>
      <w:tr w14:paraId="263C5F3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33" w:type="pct"/>
            <w:tcBorders>
              <w:top w:val="outset" w:color="auto" w:sz="6" w:space="0"/>
              <w:left w:val="outset" w:color="auto" w:sz="6" w:space="0"/>
              <w:bottom w:val="outset" w:color="auto" w:sz="6" w:space="0"/>
              <w:right w:val="outset" w:color="auto" w:sz="6" w:space="0"/>
            </w:tcBorders>
            <w:vAlign w:val="center"/>
          </w:tcPr>
          <w:p w14:paraId="21C73FE7">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学生工作</w:t>
            </w:r>
          </w:p>
        </w:tc>
        <w:tc>
          <w:tcPr>
            <w:tcW w:w="4166" w:type="pct"/>
            <w:gridSpan w:val="5"/>
            <w:tcBorders>
              <w:top w:val="outset" w:color="auto" w:sz="6" w:space="0"/>
              <w:left w:val="outset" w:color="auto" w:sz="6" w:space="0"/>
              <w:bottom w:val="outset" w:color="auto" w:sz="6" w:space="0"/>
              <w:right w:val="outset" w:color="auto" w:sz="6" w:space="0"/>
            </w:tcBorders>
            <w:vAlign w:val="center"/>
          </w:tcPr>
          <w:p w14:paraId="73EB5582">
            <w:pPr>
              <w:pStyle w:val="5"/>
              <w:widowControl/>
              <w:spacing w:beforeAutospacing="0" w:afterAutospacing="0"/>
              <w:rPr>
                <w:rFonts w:hint="eastAsia" w:ascii="仿宋" w:hAnsi="仿宋" w:eastAsia="仿宋" w:cs="仿宋"/>
                <w:sz w:val="28"/>
                <w:szCs w:val="28"/>
              </w:rPr>
            </w:pPr>
            <w:r>
              <w:rPr>
                <w:rFonts w:hint="eastAsia" w:ascii="仿宋" w:hAnsi="仿宋" w:eastAsia="仿宋" w:cs="仿宋"/>
                <w:color w:val="363636"/>
                <w:sz w:val="28"/>
                <w:szCs w:val="28"/>
              </w:rPr>
              <w:t>按照在</w:t>
            </w:r>
            <w:r>
              <w:rPr>
                <w:rFonts w:hint="eastAsia" w:ascii="仿宋" w:hAnsi="仿宋" w:eastAsia="仿宋" w:cs="仿宋"/>
                <w:color w:val="363636"/>
                <w:sz w:val="28"/>
                <w:szCs w:val="28"/>
                <w:lang w:val="en-US" w:eastAsia="zh-CN"/>
              </w:rPr>
              <w:t>校院两级承担</w:t>
            </w:r>
            <w:r>
              <w:rPr>
                <w:rFonts w:hint="eastAsia" w:ascii="仿宋" w:hAnsi="仿宋" w:eastAsia="仿宋" w:cs="仿宋"/>
                <w:color w:val="363636"/>
                <w:sz w:val="28"/>
                <w:szCs w:val="28"/>
              </w:rPr>
              <w:t>的</w:t>
            </w:r>
            <w:r>
              <w:rPr>
                <w:rFonts w:hint="eastAsia" w:ascii="仿宋" w:hAnsi="仿宋" w:eastAsia="仿宋" w:cs="仿宋"/>
                <w:color w:val="363636"/>
                <w:sz w:val="28"/>
                <w:szCs w:val="28"/>
                <w:lang w:val="en-US" w:eastAsia="zh-CN"/>
              </w:rPr>
              <w:t>工作量</w:t>
            </w:r>
            <w:r>
              <w:rPr>
                <w:rFonts w:hint="eastAsia" w:ascii="仿宋" w:hAnsi="仿宋" w:eastAsia="仿宋" w:cs="仿宋"/>
                <w:color w:val="363636"/>
                <w:sz w:val="28"/>
                <w:szCs w:val="28"/>
              </w:rPr>
              <w:t>及实际贡献进行1–8分加分。</w:t>
            </w:r>
          </w:p>
        </w:tc>
      </w:tr>
      <w:tr w14:paraId="0E42916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833" w:type="pct"/>
            <w:tcBorders>
              <w:top w:val="outset" w:color="auto" w:sz="6" w:space="0"/>
              <w:left w:val="outset" w:color="auto" w:sz="6" w:space="0"/>
              <w:bottom w:val="outset" w:color="auto" w:sz="6" w:space="0"/>
              <w:right w:val="outset" w:color="auto" w:sz="6" w:space="0"/>
            </w:tcBorders>
            <w:vAlign w:val="center"/>
          </w:tcPr>
          <w:p w14:paraId="751D14D8">
            <w:pPr>
              <w:pStyle w:val="5"/>
              <w:widowControl/>
              <w:spacing w:beforeAutospacing="0" w:afterAutospacing="0"/>
              <w:jc w:val="center"/>
              <w:rPr>
                <w:rFonts w:hint="eastAsia" w:ascii="仿宋" w:hAnsi="仿宋" w:eastAsia="仿宋" w:cs="仿宋"/>
                <w:sz w:val="28"/>
                <w:szCs w:val="28"/>
              </w:rPr>
            </w:pPr>
            <w:r>
              <w:rPr>
                <w:rFonts w:hint="eastAsia" w:ascii="仿宋" w:hAnsi="仿宋" w:eastAsia="仿宋" w:cs="仿宋"/>
                <w:color w:val="363636"/>
                <w:sz w:val="28"/>
                <w:szCs w:val="28"/>
              </w:rPr>
              <w:t>其他</w:t>
            </w:r>
          </w:p>
        </w:tc>
        <w:tc>
          <w:tcPr>
            <w:tcW w:w="4166" w:type="pct"/>
            <w:gridSpan w:val="5"/>
            <w:tcBorders>
              <w:top w:val="outset" w:color="auto" w:sz="6" w:space="0"/>
              <w:left w:val="outset" w:color="auto" w:sz="6" w:space="0"/>
              <w:bottom w:val="outset" w:color="auto" w:sz="6" w:space="0"/>
              <w:right w:val="outset" w:color="auto" w:sz="6" w:space="0"/>
            </w:tcBorders>
            <w:vAlign w:val="center"/>
          </w:tcPr>
          <w:p w14:paraId="77B5A331">
            <w:pPr>
              <w:pStyle w:val="5"/>
              <w:widowControl/>
              <w:spacing w:beforeAutospacing="0" w:afterAutospacing="0"/>
              <w:rPr>
                <w:rFonts w:hint="eastAsia" w:ascii="仿宋" w:hAnsi="仿宋" w:eastAsia="仿宋" w:cs="仿宋"/>
                <w:sz w:val="28"/>
                <w:szCs w:val="28"/>
              </w:rPr>
            </w:pPr>
            <w:r>
              <w:rPr>
                <w:rFonts w:hint="eastAsia" w:ascii="仿宋" w:hAnsi="仿宋" w:eastAsia="仿宋" w:cs="仿宋"/>
                <w:color w:val="363636"/>
                <w:sz w:val="28"/>
                <w:szCs w:val="28"/>
              </w:rPr>
              <w:t>学院根据实际情况规定的其他事项</w:t>
            </w:r>
          </w:p>
        </w:tc>
      </w:tr>
      <w:tr w14:paraId="6ED5DEB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5000" w:type="pct"/>
            <w:gridSpan w:val="6"/>
            <w:tcBorders>
              <w:top w:val="outset" w:color="auto" w:sz="6" w:space="0"/>
              <w:left w:val="outset" w:color="auto" w:sz="6" w:space="0"/>
              <w:bottom w:val="outset" w:color="auto" w:sz="6" w:space="0"/>
              <w:right w:val="outset" w:color="auto" w:sz="6" w:space="0"/>
            </w:tcBorders>
            <w:vAlign w:val="center"/>
          </w:tcPr>
          <w:p w14:paraId="4D10A447">
            <w:pPr>
              <w:pStyle w:val="5"/>
              <w:widowControl/>
              <w:spacing w:beforeAutospacing="0" w:afterAutospacing="0"/>
              <w:rPr>
                <w:rFonts w:hint="eastAsia" w:ascii="仿宋" w:hAnsi="仿宋" w:eastAsia="仿宋" w:cs="仿宋"/>
                <w:color w:val="363636"/>
                <w:sz w:val="28"/>
                <w:szCs w:val="28"/>
              </w:rPr>
            </w:pPr>
            <w:r>
              <w:rPr>
                <w:rFonts w:hint="eastAsia" w:ascii="仿宋" w:hAnsi="仿宋" w:eastAsia="仿宋" w:cs="仿宋"/>
                <w:color w:val="363636"/>
                <w:sz w:val="28"/>
                <w:szCs w:val="28"/>
                <w:lang w:val="en-US" w:eastAsia="zh-CN"/>
              </w:rPr>
              <w:t>备注：其他加分项</w:t>
            </w:r>
            <w:r>
              <w:rPr>
                <w:rFonts w:hint="eastAsia" w:ascii="仿宋" w:hAnsi="仿宋" w:eastAsia="仿宋" w:cs="仿宋"/>
                <w:color w:val="363636"/>
                <w:sz w:val="28"/>
                <w:szCs w:val="28"/>
              </w:rPr>
              <w:t>累计加分最高不超过</w:t>
            </w:r>
            <w:r>
              <w:rPr>
                <w:rFonts w:hint="eastAsia" w:ascii="仿宋" w:hAnsi="仿宋" w:eastAsia="仿宋" w:cs="仿宋"/>
                <w:color w:val="363636"/>
                <w:sz w:val="28"/>
                <w:szCs w:val="28"/>
                <w:lang w:eastAsia="zh-CN"/>
              </w:rPr>
              <w:t>2</w:t>
            </w:r>
            <w:r>
              <w:rPr>
                <w:rFonts w:hint="eastAsia" w:ascii="仿宋" w:hAnsi="仿宋" w:eastAsia="仿宋" w:cs="仿宋"/>
                <w:color w:val="363636"/>
                <w:sz w:val="28"/>
                <w:szCs w:val="28"/>
              </w:rPr>
              <w:t>0分。</w:t>
            </w:r>
          </w:p>
        </w:tc>
      </w:tr>
    </w:tbl>
    <w:p w14:paraId="2B39AE08">
      <w:pPr>
        <w:wordWrap w:val="0"/>
        <w:jc w:val="right"/>
        <w:rPr>
          <w:rFonts w:hint="eastAsia" w:ascii="仿宋" w:hAnsi="仿宋" w:eastAsia="仿宋" w:cs="仿宋"/>
          <w:sz w:val="32"/>
          <w:szCs w:val="32"/>
        </w:rPr>
      </w:pPr>
      <w:r>
        <w:rPr>
          <w:rFonts w:hint="eastAsia" w:ascii="仿宋" w:hAnsi="仿宋" w:eastAsia="仿宋" w:cs="仿宋"/>
          <w:sz w:val="32"/>
          <w:szCs w:val="32"/>
        </w:rPr>
        <w:t xml:space="preserve">创新发展学院   </w:t>
      </w:r>
    </w:p>
    <w:p w14:paraId="3CB452C1">
      <w:pPr>
        <w:jc w:val="right"/>
        <w:rPr>
          <w:rFonts w:hint="eastAsia" w:ascii="仿宋" w:hAnsi="仿宋" w:eastAsia="仿宋" w:cs="仿宋"/>
          <w:sz w:val="32"/>
          <w:szCs w:val="32"/>
        </w:rPr>
      </w:pPr>
      <w:r>
        <w:rPr>
          <w:rFonts w:hint="eastAsia" w:ascii="仿宋" w:hAnsi="仿宋" w:eastAsia="仿宋" w:cs="仿宋"/>
          <w:sz w:val="32"/>
          <w:szCs w:val="32"/>
        </w:rPr>
        <w:t>中国金融发展研究院</w:t>
      </w:r>
    </w:p>
    <w:p w14:paraId="481B51B8">
      <w:pPr>
        <w:ind w:firstLine="5760" w:firstLineChars="1800"/>
        <w:rPr>
          <w:rFonts w:hint="default" w:ascii="仿宋" w:hAnsi="仿宋" w:eastAsia="仿宋" w:cs="仿宋"/>
          <w:sz w:val="28"/>
          <w:szCs w:val="28"/>
          <w:shd w:val="clear" w:color="auto" w:fill="auto"/>
          <w:lang w:val="en-US" w:eastAsia="zh-CN"/>
        </w:rPr>
      </w:pPr>
      <w:r>
        <w:rPr>
          <w:rFonts w:hint="eastAsia" w:ascii="仿宋" w:hAnsi="仿宋" w:eastAsia="仿宋" w:cs="仿宋"/>
          <w:sz w:val="32"/>
          <w:szCs w:val="32"/>
        </w:rPr>
        <w:t xml:space="preserve">2026年10月9日 </w:t>
      </w: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CDEB7">
    <w:pPr>
      <w:pStyle w:val="3"/>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8279571">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14:paraId="08279571">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6D024AC"/>
    <w:rsid w:val="44FF580A"/>
    <w:rsid w:val="7CC773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3"/>
    <w:basedOn w:val="1"/>
    <w:next w:val="1"/>
    <w:qFormat/>
    <w:uiPriority w:val="0"/>
    <w:pPr>
      <w:spacing w:before="0" w:beforeAutospacing="1" w:after="0" w:afterAutospacing="1"/>
      <w:jc w:val="left"/>
    </w:pPr>
    <w:rPr>
      <w:rFonts w:hint="eastAsia" w:ascii="宋体" w:hAnsi="宋体" w:eastAsia="宋体" w:cs="宋体"/>
      <w:b/>
      <w:kern w:val="0"/>
      <w:sz w:val="27"/>
      <w:szCs w:val="27"/>
      <w:lang w:val="en-US" w:eastAsia="zh-CN"/>
    </w:rPr>
  </w:style>
  <w:style w:type="character" w:default="1" w:styleId="7">
    <w:name w:val="Default Paragraph Font"/>
    <w:qFormat/>
    <w:uiPriority w:val="0"/>
  </w:style>
  <w:style w:type="table" w:default="1" w:styleId="6">
    <w:name w:val="Normal Table"/>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1661</Words>
  <Characters>1775</Characters>
  <Paragraphs>145</Paragraphs>
  <TotalTime>2</TotalTime>
  <ScaleCrop>false</ScaleCrop>
  <LinksUpToDate>false</LinksUpToDate>
  <CharactersWithSpaces>1804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2020-10-17T17:28:00Z</dcterms:created>
  <dc:creator>michaelwang</dc:creator>
  <cp:lastModifiedBy>wenzhongwang</cp:lastModifiedBy>
  <dcterms:modified xsi:type="dcterms:W3CDTF">2026-10-09T14:00:02Z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D982CA919AE8472BA0D1E62F8942E668_13</vt:lpwstr>
  </property>
  <property fmtid="{D5CDD505-2E9C-101B-9397-08002B2CF9AE}" pid="4" name="KSOTemplateDocerSaveRecord">
    <vt:lpwstr>eyJoZGlkIjoiOTdmYTkyMTRlMjlhZjkyMDYwMmY5NjJlYmRjYmZjNWIiLCJ1c2VySWQiOiIxMzMzOTM3MTIifQ==</vt:lpwstr>
  </property>
</Properties>
</file>